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420"/>
        <w:rPr>
          <w:rFonts w:ascii="宋体" w:hAnsi="宋体" w:cs="宋体"/>
          <w:b/>
          <w:sz w:val="28"/>
          <w:szCs w:val="28"/>
          <w:lang w:val="en-US" w:eastAsia="zh-CN"/>
        </w:rPr>
      </w:pPr>
      <w:r>
        <w:rPr>
          <w:rFonts w:hint="eastAsia" w:ascii="宋体" w:hAnsi="宋体" w:cs="宋体"/>
          <w:b/>
          <w:color w:val="000000"/>
          <w:sz w:val="24"/>
          <w:lang w:eastAsia="zh-CN"/>
        </w:rPr>
        <w:t>股票代码：600377       股票简称：宁沪高速       编号：临</w:t>
      </w:r>
      <w:r>
        <w:rPr>
          <w:rFonts w:ascii="宋体" w:hAnsi="宋体" w:cs="宋体"/>
          <w:b/>
          <w:color w:val="000000"/>
          <w:sz w:val="24"/>
          <w:lang w:eastAsia="zh-CN"/>
        </w:rPr>
        <w:t>202</w:t>
      </w:r>
      <w:r>
        <w:rPr>
          <w:rFonts w:ascii="宋体" w:hAnsi="宋体" w:cs="宋体"/>
          <w:b/>
          <w:color w:val="000000"/>
          <w:sz w:val="24"/>
          <w:lang w:val="en-US" w:eastAsia="zh-CN"/>
        </w:rPr>
        <w:t>4</w:t>
      </w:r>
      <w:r>
        <w:rPr>
          <w:rFonts w:ascii="宋体" w:hAnsi="宋体" w:cs="宋体"/>
          <w:b/>
          <w:color w:val="000000"/>
          <w:sz w:val="24"/>
          <w:lang w:eastAsia="zh-CN"/>
        </w:rPr>
        <w:t>-</w:t>
      </w:r>
      <w:r>
        <w:rPr>
          <w:rFonts w:ascii="宋体" w:hAnsi="宋体" w:cs="宋体"/>
          <w:b/>
          <w:color w:val="000000"/>
          <w:sz w:val="24"/>
          <w:lang w:val="en-US" w:eastAsia="zh-CN"/>
        </w:rPr>
        <w:t>006</w:t>
      </w:r>
    </w:p>
    <w:p>
      <w:pPr>
        <w:widowControl w:val="0"/>
        <w:adjustRightInd w:val="0"/>
        <w:snapToGrid w:val="0"/>
        <w:spacing w:before="0" w:after="0" w:line="360" w:lineRule="auto"/>
        <w:jc w:val="center"/>
        <w:rPr>
          <w:rFonts w:hint="eastAsia" w:ascii="宋体" w:hAnsi="宋体" w:eastAsia="宋体" w:cs="宋体"/>
          <w:b/>
          <w:kern w:val="2"/>
          <w:sz w:val="28"/>
          <w:szCs w:val="28"/>
          <w:lang w:val="en-US" w:eastAsia="zh-CN"/>
        </w:rPr>
      </w:pPr>
      <w:r>
        <w:rPr>
          <w:rFonts w:hint="eastAsia" w:ascii="宋体" w:hAnsi="宋体" w:eastAsia="宋体" w:cs="宋体"/>
          <w:b/>
          <w:kern w:val="2"/>
          <w:sz w:val="28"/>
          <w:szCs w:val="28"/>
          <w:lang w:val="en-US" w:eastAsia="zh-CN"/>
        </w:rPr>
        <w:t>江苏宁沪高速公路股份有限公司</w:t>
      </w:r>
    </w:p>
    <w:p>
      <w:pPr>
        <w:widowControl w:val="0"/>
        <w:adjustRightInd w:val="0"/>
        <w:snapToGrid w:val="0"/>
        <w:spacing w:before="0" w:after="0" w:line="360" w:lineRule="auto"/>
        <w:jc w:val="center"/>
        <w:rPr>
          <w:rFonts w:hint="eastAsia" w:ascii="宋体" w:hAnsi="宋体" w:eastAsia="宋体" w:cs="宋体"/>
          <w:b/>
          <w:kern w:val="2"/>
          <w:sz w:val="28"/>
          <w:szCs w:val="28"/>
          <w:lang w:val="en-US" w:eastAsia="zh-CN"/>
        </w:rPr>
      </w:pPr>
      <w:r>
        <w:rPr>
          <w:rFonts w:hint="eastAsia" w:ascii="宋体" w:hAnsi="宋体" w:eastAsia="宋体" w:cs="宋体"/>
          <w:b/>
          <w:kern w:val="2"/>
          <w:sz w:val="28"/>
          <w:szCs w:val="28"/>
          <w:lang w:val="en-US" w:eastAsia="zh-CN"/>
        </w:rPr>
        <w:t>关于本公司收购江苏苏锡常南部高速公路有限公司</w:t>
      </w:r>
    </w:p>
    <w:p>
      <w:pPr>
        <w:widowControl w:val="0"/>
        <w:adjustRightInd w:val="0"/>
        <w:snapToGrid w:val="0"/>
        <w:spacing w:before="0" w:after="0" w:line="360" w:lineRule="auto"/>
        <w:jc w:val="center"/>
        <w:rPr>
          <w:rFonts w:hint="eastAsia" w:ascii="宋体" w:hAnsi="宋体" w:eastAsia="宋体" w:cs="宋体"/>
          <w:b/>
          <w:kern w:val="2"/>
          <w:sz w:val="28"/>
          <w:szCs w:val="28"/>
          <w:lang w:val="en-US" w:eastAsia="zh-CN"/>
        </w:rPr>
      </w:pPr>
      <w:r>
        <w:rPr>
          <w:rFonts w:hint="eastAsia" w:ascii="宋体" w:hAnsi="宋体" w:eastAsia="宋体" w:cs="宋体"/>
          <w:b/>
          <w:kern w:val="2"/>
          <w:sz w:val="28"/>
          <w:szCs w:val="28"/>
          <w:lang w:val="en-US" w:eastAsia="zh-CN"/>
        </w:rPr>
        <w:t>65%股权的关联交易公告</w:t>
      </w:r>
    </w:p>
    <w:tbl>
      <w:tblPr>
        <w:tblStyle w:val="14"/>
        <w:tblpPr w:leftFromText="180" w:rightFromText="180" w:vertAnchor="text" w:horzAnchor="margin" w:tblpY="97"/>
        <w:tblW w:w="862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6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3" w:hRule="atLeast"/>
        </w:trPr>
        <w:tc>
          <w:tcPr>
            <w:tcW w:w="8623" w:type="dxa"/>
          </w:tcPr>
          <w:p>
            <w:pPr>
              <w:autoSpaceDE w:val="0"/>
              <w:autoSpaceDN w:val="0"/>
              <w:adjustRightInd w:val="0"/>
              <w:snapToGrid w:val="0"/>
              <w:spacing w:before="100" w:beforeAutospacing="1" w:after="100" w:afterAutospacing="1" w:line="360" w:lineRule="auto"/>
              <w:rPr>
                <w:rFonts w:ascii="宋体" w:hAnsi="宋体" w:cs="宋体"/>
                <w:sz w:val="24"/>
                <w:lang w:eastAsia="zh-CN"/>
              </w:rPr>
            </w:pPr>
            <w:r>
              <w:rPr>
                <w:rFonts w:hint="eastAsia" w:ascii="宋体" w:hAnsi="宋体" w:cs="宋体"/>
                <w:b/>
                <w:sz w:val="24"/>
                <w:lang w:eastAsia="zh-CN"/>
              </w:rPr>
              <w:t>本公司董事会及全体董事保证本公告内容不存在任何虚假记载、误导性陈述或者重大遗漏，并对其内容的真实性、准确性和完整性承担法律责任。</w:t>
            </w:r>
          </w:p>
        </w:tc>
      </w:tr>
    </w:tbl>
    <w:p>
      <w:pPr>
        <w:adjustRightInd w:val="0"/>
        <w:snapToGrid w:val="0"/>
        <w:spacing w:before="156" w:beforeLines="50" w:after="156" w:afterLines="50" w:line="360" w:lineRule="auto"/>
        <w:jc w:val="left"/>
        <w:rPr>
          <w:rFonts w:ascii="宋体" w:hAnsi="宋体" w:cs="宋体"/>
          <w:b/>
          <w:bCs/>
          <w:sz w:val="24"/>
          <w:szCs w:val="24"/>
          <w:lang w:val="en-US" w:eastAsia="zh-CN"/>
        </w:rPr>
      </w:pPr>
      <w:bookmarkStart w:id="0" w:name="BBIPBLSTA"/>
      <w:bookmarkEnd w:id="0"/>
      <w:bookmarkStart w:id="1" w:name="BondName2"/>
      <w:bookmarkEnd w:id="1"/>
      <w:r>
        <w:rPr>
          <w:rFonts w:hint="eastAsia" w:ascii="宋体" w:hAnsi="宋体" w:cs="宋体"/>
          <w:b/>
          <w:bCs/>
          <w:sz w:val="24"/>
          <w:szCs w:val="24"/>
          <w:lang w:val="en-US" w:eastAsia="zh-CN"/>
        </w:rPr>
        <w:t>重要内容提示：</w:t>
      </w:r>
    </w:p>
    <w:p>
      <w:pPr>
        <w:pStyle w:val="3"/>
        <w:numPr>
          <w:ilvl w:val="0"/>
          <w:numId w:val="2"/>
        </w:numPr>
        <w:autoSpaceDE w:val="0"/>
        <w:autoSpaceDN w:val="0"/>
        <w:adjustRightInd w:val="0"/>
        <w:spacing w:before="0" w:line="360" w:lineRule="auto"/>
        <w:ind w:firstLineChars="0"/>
        <w:contextualSpacing/>
        <w:rPr>
          <w:rFonts w:ascii="宋体" w:hAnsi="宋体" w:cs="宋体"/>
          <w:b/>
          <w:bCs/>
          <w:sz w:val="24"/>
          <w:szCs w:val="24"/>
          <w:lang w:val="en-US" w:eastAsia="zh-CN"/>
        </w:rPr>
      </w:pPr>
      <w:r>
        <w:rPr>
          <w:rFonts w:hint="eastAsia" w:ascii="宋体" w:hAnsi="宋体" w:cs="宋体"/>
          <w:b/>
          <w:bCs/>
          <w:sz w:val="24"/>
          <w:szCs w:val="24"/>
          <w:lang w:val="en-US" w:eastAsia="zh-CN"/>
        </w:rPr>
        <w:t>投资目标名称</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江苏苏锡常南部高速公路有限公司（以下简称“苏锡常南部高速公司”</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或</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目标公司</w:t>
      </w:r>
      <w:r>
        <w:rPr>
          <w:rFonts w:ascii="宋体" w:hAnsi="宋体" w:cs="宋体"/>
          <w:b/>
          <w:bCs/>
          <w:sz w:val="24"/>
          <w:szCs w:val="24"/>
          <w:lang w:val="en-US" w:eastAsia="zh-CN"/>
        </w:rPr>
        <w:t>”</w:t>
      </w:r>
      <w:r>
        <w:rPr>
          <w:rFonts w:hint="eastAsia" w:ascii="宋体" w:hAnsi="宋体" w:cs="宋体"/>
          <w:b/>
          <w:bCs/>
          <w:sz w:val="24"/>
          <w:szCs w:val="24"/>
          <w:lang w:val="en-US" w:eastAsia="zh-CN"/>
        </w:rPr>
        <w:t>）的</w:t>
      </w:r>
      <w:r>
        <w:rPr>
          <w:rFonts w:ascii="宋体" w:hAnsi="宋体" w:cs="宋体"/>
          <w:b/>
          <w:bCs/>
          <w:sz w:val="24"/>
          <w:szCs w:val="24"/>
          <w:lang w:val="en-US" w:eastAsia="zh-CN"/>
        </w:rPr>
        <w:t>65%</w:t>
      </w:r>
      <w:r>
        <w:rPr>
          <w:rFonts w:hint="eastAsia" w:ascii="宋体" w:hAnsi="宋体" w:cs="宋体"/>
          <w:b/>
          <w:bCs/>
          <w:sz w:val="24"/>
          <w:szCs w:val="24"/>
          <w:lang w:val="en-US" w:eastAsia="zh-CN"/>
        </w:rPr>
        <w:t>股权。</w:t>
      </w:r>
    </w:p>
    <w:p>
      <w:pPr>
        <w:pStyle w:val="3"/>
        <w:numPr>
          <w:ilvl w:val="0"/>
          <w:numId w:val="2"/>
        </w:numPr>
        <w:autoSpaceDE w:val="0"/>
        <w:autoSpaceDN w:val="0"/>
        <w:adjustRightInd w:val="0"/>
        <w:spacing w:before="0" w:line="360" w:lineRule="auto"/>
        <w:ind w:firstLineChars="0"/>
        <w:contextualSpacing/>
        <w:rPr>
          <w:rFonts w:ascii="宋体" w:hAnsi="宋体" w:cs="宋体"/>
          <w:b/>
          <w:bCs/>
          <w:sz w:val="24"/>
          <w:szCs w:val="24"/>
          <w:lang w:val="en-US" w:eastAsia="zh-CN"/>
        </w:rPr>
      </w:pPr>
      <w:r>
        <w:rPr>
          <w:rFonts w:hint="eastAsia" w:ascii="宋体" w:hAnsi="宋体" w:cs="宋体"/>
          <w:b/>
          <w:bCs/>
          <w:sz w:val="24"/>
          <w:szCs w:val="24"/>
          <w:lang w:val="en-US" w:eastAsia="zh-CN"/>
        </w:rPr>
        <w:t>投资金额：人民币</w:t>
      </w:r>
      <w:r>
        <w:rPr>
          <w:rFonts w:ascii="宋体" w:hAnsi="宋体" w:cs="宋体"/>
          <w:b/>
          <w:bCs/>
          <w:sz w:val="24"/>
          <w:szCs w:val="24"/>
          <w:lang w:val="en-US" w:eastAsia="zh-CN"/>
        </w:rPr>
        <w:t>5,200,650,000</w:t>
      </w:r>
      <w:r>
        <w:rPr>
          <w:rFonts w:hint="eastAsia" w:ascii="宋体" w:hAnsi="宋体" w:cs="宋体"/>
          <w:b/>
          <w:bCs/>
          <w:sz w:val="24"/>
          <w:szCs w:val="24"/>
          <w:lang w:val="en-US" w:eastAsia="zh-CN"/>
        </w:rPr>
        <w:t>元。</w:t>
      </w:r>
    </w:p>
    <w:p>
      <w:pPr>
        <w:pStyle w:val="3"/>
        <w:numPr>
          <w:ilvl w:val="0"/>
          <w:numId w:val="2"/>
        </w:numPr>
        <w:autoSpaceDE w:val="0"/>
        <w:autoSpaceDN w:val="0"/>
        <w:adjustRightInd w:val="0"/>
        <w:spacing w:before="0" w:line="360" w:lineRule="auto"/>
        <w:ind w:firstLineChars="0"/>
        <w:contextualSpacing/>
        <w:rPr>
          <w:rFonts w:ascii="宋体" w:hAnsi="宋体" w:cs="宋体"/>
          <w:b/>
          <w:bCs/>
          <w:sz w:val="24"/>
          <w:szCs w:val="24"/>
          <w:lang w:val="en-US" w:eastAsia="zh-CN"/>
        </w:rPr>
      </w:pPr>
      <w:r>
        <w:rPr>
          <w:rFonts w:hint="eastAsia" w:ascii="宋体" w:hAnsi="宋体" w:cs="宋体"/>
          <w:b/>
          <w:bCs/>
          <w:sz w:val="24"/>
          <w:szCs w:val="24"/>
          <w:lang w:val="en-US" w:eastAsia="zh-CN"/>
        </w:rPr>
        <w:t>本次交易构成关联交易，江苏宁沪高速公路股份有限公司（以下简称“本公司”</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（连同其控股子公司统称为“本集团”））过去</w:t>
      </w:r>
      <w:r>
        <w:rPr>
          <w:rFonts w:ascii="宋体" w:hAnsi="宋体" w:cs="宋体"/>
          <w:b/>
          <w:bCs/>
          <w:sz w:val="24"/>
          <w:szCs w:val="24"/>
          <w:lang w:val="en-US" w:eastAsia="zh-CN"/>
        </w:rPr>
        <w:t>12</w:t>
      </w:r>
      <w:r>
        <w:rPr>
          <w:rFonts w:hint="eastAsia" w:ascii="宋体" w:hAnsi="宋体" w:cs="宋体"/>
          <w:b/>
          <w:bCs/>
          <w:sz w:val="24"/>
          <w:szCs w:val="24"/>
          <w:lang w:val="en-US" w:eastAsia="zh-CN"/>
        </w:rPr>
        <w:t>个月内将其全资子公司江苏宁沪投资发展有限责任公司（以下简称“宁沪投资公司”）</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持有的宁沪商业保理（广州）有限公司（以下简称“保理公司”）</w:t>
      </w:r>
      <w:r>
        <w:rPr>
          <w:rFonts w:ascii="宋体" w:hAnsi="宋体" w:cs="宋体"/>
          <w:b/>
          <w:bCs/>
          <w:sz w:val="24"/>
          <w:szCs w:val="24"/>
          <w:lang w:val="en-US" w:eastAsia="zh-CN"/>
        </w:rPr>
        <w:t>100%</w:t>
      </w:r>
      <w:r>
        <w:rPr>
          <w:rFonts w:hint="eastAsia" w:ascii="宋体" w:hAnsi="宋体" w:cs="宋体"/>
          <w:b/>
          <w:bCs/>
          <w:sz w:val="24"/>
          <w:szCs w:val="24"/>
          <w:lang w:val="en-US" w:eastAsia="zh-CN"/>
        </w:rPr>
        <w:t>股权中的</w:t>
      </w:r>
      <w:r>
        <w:rPr>
          <w:rFonts w:ascii="宋体" w:hAnsi="宋体" w:cs="宋体"/>
          <w:b/>
          <w:bCs/>
          <w:sz w:val="24"/>
          <w:szCs w:val="24"/>
          <w:lang w:val="en-US" w:eastAsia="zh-CN"/>
        </w:rPr>
        <w:t>80%</w:t>
      </w:r>
      <w:r>
        <w:rPr>
          <w:rFonts w:hint="eastAsia" w:ascii="宋体" w:hAnsi="宋体" w:cs="宋体"/>
          <w:b/>
          <w:bCs/>
          <w:sz w:val="24"/>
          <w:szCs w:val="24"/>
          <w:lang w:val="en-US" w:eastAsia="zh-CN"/>
        </w:rPr>
        <w:t>的股权转让给江苏交通控股有限公司（以下简称“江苏交控”）</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，其余</w:t>
      </w:r>
      <w:r>
        <w:rPr>
          <w:rFonts w:ascii="宋体" w:hAnsi="宋体" w:cs="宋体"/>
          <w:b/>
          <w:bCs/>
          <w:sz w:val="24"/>
          <w:szCs w:val="24"/>
          <w:lang w:val="en-US" w:eastAsia="zh-CN"/>
        </w:rPr>
        <w:t>20%</w:t>
      </w:r>
      <w:r>
        <w:rPr>
          <w:rFonts w:hint="eastAsia" w:ascii="宋体" w:hAnsi="宋体" w:cs="宋体"/>
          <w:b/>
          <w:bCs/>
          <w:sz w:val="24"/>
          <w:szCs w:val="24"/>
          <w:lang w:val="en-US" w:eastAsia="zh-CN"/>
        </w:rPr>
        <w:t>的股权转让给江苏交控控股子公司江苏云杉资本管理有限公司（以下简称“云杉资本”）</w:t>
      </w:r>
      <w:r>
        <w:rPr>
          <w:rFonts w:ascii="宋体" w:hAnsi="宋体" w:cs="宋体"/>
          <w:b/>
          <w:bCs/>
          <w:sz w:val="24"/>
          <w:szCs w:val="24"/>
          <w:lang w:val="en-US" w:eastAsia="zh-CN"/>
        </w:rPr>
        <w:t xml:space="preserve"> </w:t>
      </w:r>
      <w:r>
        <w:rPr>
          <w:rFonts w:hint="eastAsia" w:ascii="宋体" w:hAnsi="宋体" w:cs="宋体"/>
          <w:b/>
          <w:bCs/>
          <w:sz w:val="24"/>
          <w:szCs w:val="24"/>
          <w:lang w:val="en-US" w:eastAsia="zh-CN"/>
        </w:rPr>
        <w:t>。合计交易金额为人民币</w:t>
      </w:r>
      <w:r>
        <w:rPr>
          <w:rFonts w:ascii="宋体" w:hAnsi="宋体" w:cs="宋体"/>
          <w:b/>
          <w:bCs/>
          <w:sz w:val="24"/>
          <w:szCs w:val="24"/>
          <w:lang w:val="en-US" w:eastAsia="zh-CN"/>
        </w:rPr>
        <w:t>34,860.00</w:t>
      </w:r>
      <w:r>
        <w:rPr>
          <w:rFonts w:hint="eastAsia" w:ascii="宋体" w:hAnsi="宋体" w:cs="宋体"/>
          <w:b/>
          <w:bCs/>
          <w:sz w:val="24"/>
          <w:szCs w:val="24"/>
          <w:lang w:val="en-US" w:eastAsia="zh-CN"/>
        </w:rPr>
        <w:t>万元。</w:t>
      </w:r>
    </w:p>
    <w:p>
      <w:pPr>
        <w:pStyle w:val="3"/>
        <w:numPr>
          <w:ilvl w:val="0"/>
          <w:numId w:val="2"/>
        </w:numPr>
        <w:spacing w:before="0" w:after="0" w:line="360" w:lineRule="auto"/>
        <w:ind w:firstLineChars="0"/>
        <w:contextualSpacing/>
        <w:jc w:val="left"/>
        <w:rPr>
          <w:rFonts w:ascii="宋体" w:hAnsi="宋体" w:cs="宋体"/>
          <w:b/>
          <w:bCs/>
          <w:sz w:val="24"/>
          <w:szCs w:val="24"/>
          <w:lang w:val="en-US" w:eastAsia="zh-CN"/>
        </w:rPr>
      </w:pPr>
      <w:r>
        <w:rPr>
          <w:rFonts w:hint="eastAsia" w:ascii="宋体" w:hAnsi="宋体" w:cs="宋体"/>
          <w:b/>
          <w:bCs/>
          <w:sz w:val="24"/>
          <w:szCs w:val="24"/>
          <w:lang w:val="en-US" w:eastAsia="zh-CN"/>
        </w:rPr>
        <w:t>本次关联交易不构成重大资产重组。</w:t>
      </w:r>
    </w:p>
    <w:p>
      <w:pPr>
        <w:pStyle w:val="3"/>
        <w:numPr>
          <w:ilvl w:val="0"/>
          <w:numId w:val="2"/>
        </w:numPr>
        <w:autoSpaceDE w:val="0"/>
        <w:autoSpaceDN w:val="0"/>
        <w:adjustRightInd w:val="0"/>
        <w:spacing w:before="0" w:line="360" w:lineRule="auto"/>
        <w:ind w:firstLineChars="0"/>
        <w:contextualSpacing/>
        <w:rPr>
          <w:rFonts w:ascii="宋体" w:hAnsi="宋体" w:cs="宋体"/>
          <w:b/>
          <w:bCs/>
          <w:sz w:val="24"/>
          <w:szCs w:val="24"/>
          <w:lang w:val="en-US" w:eastAsia="zh-CN"/>
        </w:rPr>
      </w:pPr>
      <w:r>
        <w:rPr>
          <w:rFonts w:hint="eastAsia" w:ascii="宋体" w:hAnsi="宋体" w:cs="宋体"/>
          <w:b/>
          <w:bCs/>
          <w:sz w:val="24"/>
          <w:szCs w:val="24"/>
          <w:lang w:val="en-US" w:eastAsia="zh-CN"/>
        </w:rPr>
        <w:t>本次交易实施尚需履行的审批及其他相关程序</w:t>
      </w:r>
      <w:r>
        <w:rPr>
          <w:rFonts w:ascii="宋体" w:hAnsi="宋体" w:cs="宋体"/>
          <w:b/>
          <w:bCs/>
          <w:sz w:val="24"/>
          <w:szCs w:val="24"/>
          <w:lang w:val="en-US" w:eastAsia="zh-CN"/>
        </w:rPr>
        <w:t>: (1)</w:t>
      </w:r>
      <w:r>
        <w:rPr>
          <w:rFonts w:hint="eastAsia" w:ascii="宋体" w:hAnsi="宋体" w:cs="宋体"/>
          <w:b/>
          <w:bCs/>
          <w:sz w:val="24"/>
          <w:szCs w:val="24"/>
          <w:lang w:val="en-US" w:eastAsia="zh-CN"/>
        </w:rPr>
        <w:t>获得苏锡常南部高速公司其他股东放弃其优先购买权</w:t>
      </w:r>
      <w:r>
        <w:rPr>
          <w:rFonts w:ascii="宋体" w:hAnsi="宋体" w:cs="宋体"/>
          <w:b/>
          <w:bCs/>
          <w:sz w:val="24"/>
          <w:szCs w:val="24"/>
          <w:lang w:val="en-US" w:eastAsia="zh-CN"/>
        </w:rPr>
        <w:t xml:space="preserve">; (2) </w:t>
      </w:r>
      <w:r>
        <w:rPr>
          <w:rFonts w:hint="eastAsia" w:ascii="宋体" w:hAnsi="宋体" w:cs="宋体"/>
          <w:b/>
          <w:bCs/>
          <w:sz w:val="24"/>
          <w:szCs w:val="24"/>
          <w:lang w:val="en-US" w:eastAsia="zh-CN"/>
        </w:rPr>
        <w:t>本公司股东大会上获得独立股东的批准；及</w:t>
      </w:r>
      <w:r>
        <w:rPr>
          <w:rFonts w:ascii="宋体" w:hAnsi="宋体" w:cs="宋体"/>
          <w:b/>
          <w:bCs/>
          <w:sz w:val="24"/>
          <w:szCs w:val="24"/>
          <w:lang w:val="en-US" w:eastAsia="zh-CN"/>
        </w:rPr>
        <w:t>(3)</w:t>
      </w:r>
      <w:r>
        <w:rPr>
          <w:rFonts w:hint="eastAsia" w:ascii="宋体" w:hAnsi="宋体" w:cs="宋体"/>
          <w:b/>
          <w:bCs/>
          <w:sz w:val="24"/>
          <w:szCs w:val="24"/>
          <w:lang w:val="en-US" w:eastAsia="zh-CN"/>
        </w:rPr>
        <w:t>转让方已完成股权转让所必需的符合有关国资监管部门等主管</w:t>
      </w:r>
      <w:r>
        <w:rPr>
          <w:rFonts w:ascii="宋体" w:hAnsi="宋体" w:cs="宋体"/>
          <w:b/>
          <w:bCs/>
          <w:sz w:val="24"/>
          <w:szCs w:val="24"/>
          <w:lang w:val="en-US" w:eastAsia="zh-CN"/>
        </w:rPr>
        <w:t>/</w:t>
      </w:r>
      <w:r>
        <w:rPr>
          <w:rFonts w:hint="eastAsia" w:ascii="宋体" w:hAnsi="宋体" w:cs="宋体"/>
          <w:b/>
          <w:bCs/>
          <w:sz w:val="24"/>
          <w:szCs w:val="24"/>
          <w:lang w:val="en-US" w:eastAsia="zh-CN"/>
        </w:rPr>
        <w:t>监管部门规定的审批</w:t>
      </w:r>
      <w:r>
        <w:rPr>
          <w:rFonts w:ascii="宋体" w:hAnsi="宋体" w:cs="宋体"/>
          <w:b/>
          <w:bCs/>
          <w:sz w:val="24"/>
          <w:szCs w:val="24"/>
          <w:lang w:val="en-US" w:eastAsia="zh-CN"/>
        </w:rPr>
        <w:t>/</w:t>
      </w:r>
      <w:r>
        <w:rPr>
          <w:rFonts w:hint="eastAsia" w:ascii="宋体" w:hAnsi="宋体" w:cs="宋体"/>
          <w:b/>
          <w:bCs/>
          <w:sz w:val="24"/>
          <w:szCs w:val="24"/>
          <w:lang w:val="en-US" w:eastAsia="zh-CN"/>
        </w:rPr>
        <w:t>备案程序。</w:t>
      </w:r>
      <w:r>
        <w:rPr>
          <w:rFonts w:ascii="宋体" w:hAnsi="宋体" w:cs="宋体"/>
          <w:b/>
          <w:bCs/>
          <w:sz w:val="24"/>
          <w:szCs w:val="24"/>
          <w:lang w:val="en-US" w:eastAsia="zh-CN"/>
        </w:rPr>
        <w:t xml:space="preserve"> </w:t>
      </w:r>
    </w:p>
    <w:p>
      <w:pPr>
        <w:pStyle w:val="3"/>
        <w:numPr>
          <w:ilvl w:val="0"/>
          <w:numId w:val="2"/>
        </w:numPr>
        <w:autoSpaceDE w:val="0"/>
        <w:autoSpaceDN w:val="0"/>
        <w:adjustRightInd w:val="0"/>
        <w:spacing w:before="0" w:line="360" w:lineRule="auto"/>
        <w:ind w:firstLineChars="0"/>
        <w:contextualSpacing/>
        <w:rPr>
          <w:rFonts w:ascii="宋体" w:hAnsi="宋体" w:cs="宋体"/>
          <w:b/>
          <w:bCs/>
          <w:sz w:val="24"/>
          <w:szCs w:val="24"/>
          <w:lang w:val="en-US" w:eastAsia="zh-CN"/>
        </w:rPr>
      </w:pPr>
      <w:r>
        <w:rPr>
          <w:rFonts w:hint="eastAsia" w:ascii="宋体" w:hAnsi="宋体" w:cs="宋体"/>
          <w:b/>
          <w:bCs/>
          <w:sz w:val="24"/>
          <w:szCs w:val="24"/>
          <w:lang w:val="en-US" w:eastAsia="zh-CN"/>
        </w:rPr>
        <w:t>风险提示：本次交易可能存在业务发展风险、政策风险等相关风险，敬请投资者注意投资风险。</w:t>
      </w:r>
    </w:p>
    <w:p>
      <w:pPr>
        <w:pStyle w:val="3"/>
        <w:numPr>
          <w:ilvl w:val="0"/>
          <w:numId w:val="0"/>
        </w:numPr>
        <w:autoSpaceDE w:val="0"/>
        <w:autoSpaceDN w:val="0"/>
        <w:adjustRightInd w:val="0"/>
        <w:spacing w:before="0" w:line="360" w:lineRule="auto"/>
        <w:ind w:leftChars="0"/>
        <w:contextualSpacing/>
        <w:rPr>
          <w:rFonts w:ascii="宋体" w:hAnsi="宋体" w:cs="宋体"/>
          <w:b/>
          <w:bCs/>
          <w:sz w:val="24"/>
          <w:szCs w:val="24"/>
          <w:lang w:val="en-US" w:eastAsia="zh-CN"/>
        </w:rPr>
      </w:pPr>
    </w:p>
    <w:p>
      <w:pPr>
        <w:pStyle w:val="2"/>
      </w:pPr>
      <w:r>
        <w:rPr>
          <w:rFonts w:hint="eastAsia"/>
        </w:rPr>
        <w:t>关联交易概述</w:t>
      </w:r>
    </w:p>
    <w:p>
      <w:pPr>
        <w:adjustRightInd w:val="0"/>
        <w:snapToGrid w:val="0"/>
        <w:spacing w:before="156" w:beforeLines="50" w:after="156" w:afterLines="50" w:line="360" w:lineRule="auto"/>
        <w:ind w:firstLine="480" w:firstLineChars="200"/>
        <w:contextualSpacing/>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为进一步扩大公司在苏南高速公路路网中的资产规模，完善主业布局，提升可持续发展能力，于</w:t>
      </w:r>
      <w:r>
        <w:rPr>
          <w:rFonts w:cs="宋体" w:asciiTheme="minorEastAsia" w:hAnsiTheme="minorEastAsia" w:eastAsiaTheme="minorEastAsia"/>
          <w:sz w:val="24"/>
          <w:szCs w:val="24"/>
          <w:lang w:val="en-US" w:eastAsia="zh-CN"/>
        </w:rPr>
        <w:t>2024</w:t>
      </w:r>
      <w:r>
        <w:rPr>
          <w:rFonts w:hint="eastAsia" w:cs="宋体" w:asciiTheme="minorEastAsia" w:hAnsiTheme="minorEastAsia" w:eastAsiaTheme="minorEastAsia"/>
          <w:sz w:val="24"/>
          <w:szCs w:val="24"/>
          <w:lang w:val="en-US" w:eastAsia="zh-CN"/>
        </w:rPr>
        <w:t>年</w:t>
      </w:r>
      <w:r>
        <w:rPr>
          <w:rFonts w:cs="宋体" w:asciiTheme="minorEastAsia" w:hAnsiTheme="minorEastAsia" w:eastAsiaTheme="minorEastAsia"/>
          <w:sz w:val="24"/>
          <w:szCs w:val="24"/>
          <w:lang w:val="en-US" w:eastAsia="zh-CN"/>
        </w:rPr>
        <w:t>1</w:t>
      </w:r>
      <w:r>
        <w:rPr>
          <w:rFonts w:hint="eastAsia" w:cs="宋体" w:asciiTheme="minorEastAsia" w:hAnsiTheme="minorEastAsia" w:eastAsiaTheme="minorEastAsia"/>
          <w:sz w:val="24"/>
          <w:szCs w:val="24"/>
          <w:lang w:val="en-US" w:eastAsia="zh-CN"/>
        </w:rPr>
        <w:t>月</w:t>
      </w:r>
      <w:r>
        <w:rPr>
          <w:rFonts w:cs="宋体" w:asciiTheme="minorEastAsia" w:hAnsiTheme="minorEastAsia" w:eastAsiaTheme="minorEastAsia"/>
          <w:sz w:val="24"/>
          <w:szCs w:val="24"/>
          <w:lang w:val="en-US" w:eastAsia="zh-CN"/>
        </w:rPr>
        <w:t>26</w:t>
      </w:r>
      <w:r>
        <w:rPr>
          <w:rFonts w:hint="eastAsia" w:cs="宋体" w:asciiTheme="minorEastAsia" w:hAnsiTheme="minorEastAsia" w:eastAsiaTheme="minorEastAsia"/>
          <w:sz w:val="24"/>
          <w:szCs w:val="24"/>
          <w:lang w:val="en-US" w:eastAsia="zh-CN"/>
        </w:rPr>
        <w:t>日，本公司（作为买方及受让方）与江苏交控（作为卖方及转让方）签署《股权转让协议》，向江苏交控协议收购其持有的苏锡常南部高速公司</w:t>
      </w:r>
      <w:r>
        <w:rPr>
          <w:rFonts w:cs="宋体" w:asciiTheme="minorEastAsia" w:hAnsiTheme="minorEastAsia" w:eastAsiaTheme="minorEastAsia"/>
          <w:sz w:val="24"/>
          <w:szCs w:val="24"/>
          <w:lang w:val="en-US" w:eastAsia="zh-CN"/>
        </w:rPr>
        <w:t>65%</w:t>
      </w:r>
      <w:r>
        <w:rPr>
          <w:rFonts w:hint="eastAsia" w:cs="宋体" w:asciiTheme="minorEastAsia" w:hAnsiTheme="minorEastAsia" w:eastAsiaTheme="minorEastAsia"/>
          <w:sz w:val="24"/>
          <w:szCs w:val="24"/>
          <w:lang w:val="en-US" w:eastAsia="zh-CN"/>
        </w:rPr>
        <w:t>股权，对价为人民币</w:t>
      </w:r>
      <w:r>
        <w:rPr>
          <w:rFonts w:cs="宋体" w:asciiTheme="minorEastAsia" w:hAnsiTheme="minorEastAsia" w:eastAsiaTheme="minorEastAsia"/>
          <w:sz w:val="24"/>
          <w:szCs w:val="24"/>
          <w:lang w:val="en-US" w:eastAsia="zh-CN"/>
        </w:rPr>
        <w:t>5,200,650,000</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转让对价以评估报告评估值为基础按比例计算</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最终价格以国有资产管理部门备案估值为准。完成本次收购后，本公司将持有苏锡常南部高速公司</w:t>
      </w:r>
      <w:r>
        <w:rPr>
          <w:rFonts w:cs="宋体" w:asciiTheme="minorEastAsia" w:hAnsiTheme="minorEastAsia" w:eastAsiaTheme="minorEastAsia"/>
          <w:sz w:val="24"/>
          <w:szCs w:val="24"/>
          <w:lang w:val="en-US" w:eastAsia="zh-CN"/>
        </w:rPr>
        <w:t>65%</w:t>
      </w:r>
      <w:r>
        <w:rPr>
          <w:rFonts w:hint="eastAsia" w:cs="宋体" w:asciiTheme="minorEastAsia" w:hAnsiTheme="minorEastAsia" w:eastAsiaTheme="minorEastAsia"/>
          <w:sz w:val="24"/>
          <w:szCs w:val="24"/>
          <w:lang w:val="en-US" w:eastAsia="zh-CN"/>
        </w:rPr>
        <w:t>股权。</w:t>
      </w:r>
    </w:p>
    <w:p>
      <w:pPr>
        <w:adjustRightInd w:val="0"/>
        <w:snapToGrid w:val="0"/>
        <w:spacing w:before="156" w:beforeLines="50" w:after="156" w:afterLines="50" w:line="360" w:lineRule="auto"/>
        <w:ind w:firstLine="480" w:firstLineChars="200"/>
        <w:contextualSpacing/>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本次收购前必须先达成有关的先决条件，包括但不限于获得苏锡常南部高速公司其他股东放弃其优先购买权，本公司股东大会上获得独立股东的批准及转让方已完成股权转让所必需的符合有关国资监管部门等主管</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监管部门规定的审批</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备案程序。</w:t>
      </w:r>
    </w:p>
    <w:p>
      <w:pPr>
        <w:adjustRightInd w:val="0"/>
        <w:snapToGrid w:val="0"/>
        <w:spacing w:before="156" w:beforeLines="50" w:after="156" w:afterLines="50" w:line="360" w:lineRule="auto"/>
        <w:ind w:firstLine="480" w:firstLineChars="200"/>
        <w:contextualSpacing/>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此外，本公司亦与</w:t>
      </w:r>
      <w:r>
        <w:rPr>
          <w:rFonts w:hint="eastAsia" w:cs="宋体" w:asciiTheme="minorEastAsia" w:hAnsiTheme="minorEastAsia" w:eastAsiaTheme="minorEastAsia"/>
          <w:sz w:val="24"/>
          <w:szCs w:val="24"/>
          <w:shd w:val="clear" w:color="auto" w:fill="FFFFFF"/>
          <w:lang w:val="en-US" w:eastAsia="zh-CN"/>
        </w:rPr>
        <w:t>无锡市交通产业集团有限公司（以下简称“无锡交通”）</w:t>
      </w:r>
      <w:r>
        <w:rPr>
          <w:rFonts w:hint="eastAsia" w:cs="宋体" w:asciiTheme="minorEastAsia" w:hAnsiTheme="minorEastAsia" w:eastAsiaTheme="minorEastAsia"/>
          <w:sz w:val="24"/>
          <w:szCs w:val="24"/>
          <w:lang w:val="en-US" w:eastAsia="zh-CN"/>
        </w:rPr>
        <w:t>签订了一份意向书以期开展商讨收购其持有的苏锡常南部高速公司</w:t>
      </w:r>
      <w:r>
        <w:rPr>
          <w:rFonts w:cs="宋体" w:asciiTheme="minorEastAsia" w:hAnsiTheme="minorEastAsia" w:eastAsiaTheme="minorEastAsia"/>
          <w:sz w:val="24"/>
          <w:szCs w:val="24"/>
          <w:lang w:val="en-US" w:eastAsia="zh-CN"/>
        </w:rPr>
        <w:t>22.8%</w:t>
      </w:r>
      <w:r>
        <w:rPr>
          <w:rFonts w:hint="eastAsia" w:cs="宋体" w:asciiTheme="minorEastAsia" w:hAnsiTheme="minorEastAsia" w:eastAsiaTheme="minorEastAsia"/>
          <w:sz w:val="24"/>
          <w:szCs w:val="24"/>
          <w:lang w:val="en-US" w:eastAsia="zh-CN"/>
        </w:rPr>
        <w:t>的股权。预计具有法律约束力的协议条款应类似与江苏交控签订的《股权转让协议》。价格将根据相关国有资产法规按由江苏交控、无锡交通、</w:t>
      </w:r>
      <w:r>
        <w:rPr>
          <w:rFonts w:hint="eastAsia" w:cs="宋体" w:asciiTheme="minorEastAsia" w:hAnsiTheme="minorEastAsia" w:eastAsiaTheme="minorEastAsia"/>
          <w:sz w:val="24"/>
          <w:szCs w:val="24"/>
          <w:shd w:val="clear" w:color="auto" w:fill="FFFFFF"/>
          <w:lang w:val="en-US" w:eastAsia="zh-CN"/>
        </w:rPr>
        <w:t>常州高速公路投资发展有限公司</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以下简称“常州高投”</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lang w:val="en-US" w:eastAsia="zh-CN"/>
        </w:rPr>
        <w:t>共同委托进行的苏锡常南部高速公司估值按比例计算。一旦本公司与无锡交通正式签订《股权转让协议》并完成收购，本公司将拥有及控制苏锡常南部高速公司</w:t>
      </w:r>
      <w:r>
        <w:rPr>
          <w:rFonts w:cs="宋体" w:asciiTheme="minorEastAsia" w:hAnsiTheme="minorEastAsia" w:eastAsiaTheme="minorEastAsia"/>
          <w:sz w:val="24"/>
          <w:szCs w:val="24"/>
          <w:lang w:val="en-US" w:eastAsia="zh-CN"/>
        </w:rPr>
        <w:t>87.8%</w:t>
      </w:r>
      <w:r>
        <w:rPr>
          <w:rFonts w:hint="eastAsia" w:cs="宋体" w:asciiTheme="minorEastAsia" w:hAnsiTheme="minorEastAsia" w:eastAsiaTheme="minorEastAsia"/>
          <w:sz w:val="24"/>
          <w:szCs w:val="24"/>
          <w:lang w:val="en-US" w:eastAsia="zh-CN"/>
        </w:rPr>
        <w:t>的绝对控制股权。如与无锡交通签署《股权转让协议》时，江苏交控仍然持有苏锡常南部高速公司的股权，向无锡交通收购苏锡常南部高速公司</w:t>
      </w:r>
      <w:r>
        <w:rPr>
          <w:rFonts w:cs="宋体" w:asciiTheme="minorEastAsia" w:hAnsiTheme="minorEastAsia" w:eastAsiaTheme="minorEastAsia"/>
          <w:sz w:val="24"/>
          <w:szCs w:val="24"/>
          <w:lang w:val="en-US" w:eastAsia="zh-CN"/>
        </w:rPr>
        <w:t>22.8%</w:t>
      </w:r>
      <w:r>
        <w:rPr>
          <w:rFonts w:hint="eastAsia" w:cs="宋体" w:asciiTheme="minorEastAsia" w:hAnsiTheme="minorEastAsia" w:eastAsiaTheme="minorEastAsia"/>
          <w:sz w:val="24"/>
          <w:szCs w:val="24"/>
          <w:lang w:val="en-US" w:eastAsia="zh-CN"/>
        </w:rPr>
        <w:t>的股权将根据上海证券交易所上市规则（简称“上海上市规则”）第</w:t>
      </w:r>
      <w:r>
        <w:rPr>
          <w:rFonts w:cs="宋体" w:asciiTheme="minorEastAsia" w:hAnsiTheme="minorEastAsia" w:eastAsiaTheme="minorEastAsia"/>
          <w:sz w:val="24"/>
          <w:szCs w:val="24"/>
          <w:lang w:val="en-US" w:eastAsia="zh-CN"/>
        </w:rPr>
        <w:t>6.3.3</w:t>
      </w:r>
      <w:r>
        <w:rPr>
          <w:rFonts w:hint="eastAsia" w:cs="宋体" w:asciiTheme="minorEastAsia" w:hAnsiTheme="minorEastAsia" w:eastAsiaTheme="minorEastAsia"/>
          <w:sz w:val="24"/>
          <w:szCs w:val="24"/>
          <w:lang w:val="en-US" w:eastAsia="zh-CN"/>
        </w:rPr>
        <w:t xml:space="preserve">条规定构成本公司的关联交易。 </w:t>
      </w:r>
    </w:p>
    <w:p>
      <w:pPr>
        <w:adjustRightInd w:val="0"/>
        <w:snapToGrid w:val="0"/>
        <w:spacing w:before="156" w:beforeLines="50" w:after="156" w:afterLines="50" w:line="360" w:lineRule="auto"/>
        <w:ind w:firstLine="480" w:firstLineChars="200"/>
        <w:contextualSpacing/>
        <w:jc w:val="left"/>
        <w:rPr>
          <w:rFonts w:cs="宋体" w:asciiTheme="minorEastAsia" w:hAnsiTheme="minorEastAsia" w:eastAsiaTheme="minorEastAsia"/>
          <w:sz w:val="24"/>
          <w:szCs w:val="24"/>
          <w:lang w:val="en-US" w:eastAsia="zh-CN"/>
        </w:rPr>
      </w:pPr>
      <w:bookmarkStart w:id="2" w:name="_Hlk155781406"/>
      <w:r>
        <w:rPr>
          <w:rFonts w:hint="eastAsia" w:cs="宋体" w:asciiTheme="minorEastAsia" w:hAnsiTheme="minorEastAsia" w:eastAsiaTheme="minorEastAsia"/>
          <w:sz w:val="24"/>
          <w:szCs w:val="24"/>
          <w:lang w:val="en-US" w:eastAsia="zh-CN"/>
        </w:rPr>
        <w:t>至于由常州高投持有的苏锡常南部高速公司</w:t>
      </w:r>
      <w:r>
        <w:rPr>
          <w:rFonts w:cs="宋体" w:asciiTheme="minorEastAsia" w:hAnsiTheme="minorEastAsia" w:eastAsiaTheme="minorEastAsia"/>
          <w:sz w:val="24"/>
          <w:szCs w:val="24"/>
          <w:lang w:val="en-US" w:eastAsia="zh-CN"/>
        </w:rPr>
        <w:t>12.2%</w:t>
      </w:r>
      <w:r>
        <w:rPr>
          <w:rFonts w:hint="eastAsia" w:cs="宋体" w:asciiTheme="minorEastAsia" w:hAnsiTheme="minorEastAsia" w:eastAsiaTheme="minorEastAsia"/>
          <w:sz w:val="24"/>
          <w:szCs w:val="24"/>
          <w:lang w:val="en-US" w:eastAsia="zh-CN"/>
        </w:rPr>
        <w:t>的股权，截至本公告日，本公司尚未与常州高投就股权转让签订任何框架协议、意向书或任何具有法律约束力的协议。因此，本公司积极寻求对由常州高投持有的苏锡常南部高速公司</w:t>
      </w:r>
      <w:r>
        <w:rPr>
          <w:rFonts w:cs="宋体" w:asciiTheme="minorEastAsia" w:hAnsiTheme="minorEastAsia" w:eastAsiaTheme="minorEastAsia"/>
          <w:sz w:val="24"/>
          <w:szCs w:val="24"/>
          <w:lang w:val="en-US" w:eastAsia="zh-CN"/>
        </w:rPr>
        <w:t>12.2%</w:t>
      </w:r>
      <w:r>
        <w:rPr>
          <w:rFonts w:hint="eastAsia" w:cs="宋体" w:asciiTheme="minorEastAsia" w:hAnsiTheme="minorEastAsia" w:eastAsiaTheme="minorEastAsia"/>
          <w:sz w:val="24"/>
          <w:szCs w:val="24"/>
          <w:lang w:val="en-US" w:eastAsia="zh-CN"/>
        </w:rPr>
        <w:t>的股权进行收购。</w:t>
      </w:r>
    </w:p>
    <w:bookmarkEnd w:id="2"/>
    <w:p>
      <w:pPr>
        <w:adjustRightInd w:val="0"/>
        <w:snapToGrid w:val="0"/>
        <w:spacing w:before="156" w:beforeLines="50" w:after="156" w:afterLines="50" w:line="360" w:lineRule="auto"/>
        <w:ind w:firstLine="480" w:firstLineChars="200"/>
        <w:contextualSpacing/>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根据上海上市规则第</w:t>
      </w:r>
      <w:r>
        <w:rPr>
          <w:rFonts w:cs="宋体" w:asciiTheme="minorEastAsia" w:hAnsiTheme="minorEastAsia" w:eastAsiaTheme="minorEastAsia"/>
          <w:sz w:val="24"/>
          <w:szCs w:val="24"/>
          <w:lang w:val="en-US" w:eastAsia="zh-CN"/>
        </w:rPr>
        <w:t>6.3.3</w:t>
      </w:r>
      <w:r>
        <w:rPr>
          <w:rFonts w:hint="eastAsia" w:cs="宋体" w:asciiTheme="minorEastAsia" w:hAnsiTheme="minorEastAsia" w:eastAsiaTheme="minorEastAsia"/>
          <w:sz w:val="24"/>
          <w:szCs w:val="24"/>
          <w:lang w:val="en-US" w:eastAsia="zh-CN"/>
        </w:rPr>
        <w:t>条的规定，本次交易对手方本公司控股股东江苏交控为本公司关联法人，本次交易构成关联交易；并根据上海上市规则第</w:t>
      </w:r>
      <w:r>
        <w:rPr>
          <w:rFonts w:cs="宋体" w:asciiTheme="minorEastAsia" w:hAnsiTheme="minorEastAsia" w:eastAsiaTheme="minorEastAsia"/>
          <w:sz w:val="24"/>
          <w:szCs w:val="24"/>
          <w:lang w:val="en-US" w:eastAsia="zh-CN"/>
        </w:rPr>
        <w:t>6.3.7</w:t>
      </w:r>
      <w:r>
        <w:rPr>
          <w:rFonts w:hint="eastAsia" w:cs="宋体" w:asciiTheme="minorEastAsia" w:hAnsiTheme="minorEastAsia" w:eastAsiaTheme="minorEastAsia"/>
          <w:sz w:val="24"/>
          <w:szCs w:val="24"/>
          <w:lang w:val="en-US" w:eastAsia="zh-CN"/>
        </w:rPr>
        <w:t>及</w:t>
      </w:r>
      <w:r>
        <w:rPr>
          <w:rFonts w:cs="宋体" w:asciiTheme="minorEastAsia" w:hAnsiTheme="minorEastAsia" w:eastAsiaTheme="minorEastAsia"/>
          <w:sz w:val="24"/>
          <w:szCs w:val="24"/>
          <w:lang w:val="en-US" w:eastAsia="zh-CN"/>
        </w:rPr>
        <w:t>6.3.9</w:t>
      </w:r>
      <w:r>
        <w:rPr>
          <w:rFonts w:hint="eastAsia" w:cs="宋体" w:asciiTheme="minorEastAsia" w:hAnsiTheme="minorEastAsia" w:eastAsiaTheme="minorEastAsia"/>
          <w:sz w:val="24"/>
          <w:szCs w:val="24"/>
          <w:lang w:val="en-US" w:eastAsia="zh-CN"/>
        </w:rPr>
        <w:t>条的要求，本次交易金额占本公司最近一期经审计净资产绝对值的比例高于</w:t>
      </w:r>
      <w:r>
        <w:rPr>
          <w:rFonts w:cs="宋体" w:asciiTheme="minorEastAsia" w:hAnsiTheme="minorEastAsia" w:eastAsiaTheme="minorEastAsia"/>
          <w:sz w:val="24"/>
          <w:szCs w:val="24"/>
          <w:lang w:val="en-US" w:eastAsia="zh-CN"/>
        </w:rPr>
        <w:t>5%</w:t>
      </w:r>
      <w:r>
        <w:rPr>
          <w:rFonts w:hint="eastAsia" w:cs="宋体" w:asciiTheme="minorEastAsia" w:hAnsiTheme="minorEastAsia" w:eastAsiaTheme="minorEastAsia"/>
          <w:sz w:val="24"/>
          <w:szCs w:val="24"/>
          <w:lang w:val="en-US" w:eastAsia="zh-CN"/>
        </w:rPr>
        <w:t>，因此本次交易需提交股东大会审议，且关联股东江苏交控需回避表决。</w:t>
      </w:r>
    </w:p>
    <w:p>
      <w:pPr>
        <w:adjustRightInd w:val="0"/>
        <w:snapToGrid w:val="0"/>
        <w:spacing w:before="156" w:beforeLines="50" w:after="156" w:afterLines="50" w:line="360" w:lineRule="auto"/>
        <w:ind w:firstLine="480" w:firstLineChars="200"/>
        <w:contextualSpacing/>
        <w:jc w:val="left"/>
        <w:rPr>
          <w:rFonts w:cs="宋体" w:asciiTheme="minorEastAsia" w:hAnsiTheme="minorEastAsia" w:eastAsiaTheme="minorEastAsia"/>
          <w:sz w:val="24"/>
          <w:szCs w:val="24"/>
          <w:lang w:val="en-US" w:eastAsia="zh-CN"/>
        </w:rPr>
      </w:pPr>
      <w:r>
        <w:rPr>
          <w:rFonts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lang w:val="en-US" w:eastAsia="zh-CN"/>
        </w:rPr>
        <w:t>根据香港上市规则第</w:t>
      </w:r>
      <w:r>
        <w:rPr>
          <w:rFonts w:cs="宋体" w:asciiTheme="minorEastAsia" w:hAnsiTheme="minorEastAsia" w:eastAsiaTheme="minorEastAsia"/>
          <w:sz w:val="24"/>
          <w:szCs w:val="24"/>
          <w:lang w:val="en-US" w:eastAsia="zh-CN"/>
        </w:rPr>
        <w:t>14A.07(1)</w:t>
      </w:r>
      <w:r>
        <w:rPr>
          <w:rFonts w:hint="eastAsia" w:cs="宋体" w:asciiTheme="minorEastAsia" w:hAnsiTheme="minorEastAsia" w:eastAsiaTheme="minorEastAsia"/>
          <w:sz w:val="24"/>
          <w:szCs w:val="24"/>
          <w:lang w:val="en-US" w:eastAsia="zh-CN"/>
        </w:rPr>
        <w:t>条，江苏交控是本公司的关联人士。《股权转让协议》项下本公司向江苏交控协议收购其持有的苏锡常南部高速公司</w:t>
      </w:r>
      <w:r>
        <w:rPr>
          <w:rFonts w:cs="宋体" w:asciiTheme="minorEastAsia" w:hAnsiTheme="minorEastAsia" w:eastAsiaTheme="minorEastAsia"/>
          <w:sz w:val="24"/>
          <w:szCs w:val="24"/>
          <w:lang w:val="en-US" w:eastAsia="zh-CN"/>
        </w:rPr>
        <w:t>65%</w:t>
      </w:r>
      <w:r>
        <w:rPr>
          <w:rFonts w:hint="eastAsia" w:cs="宋体" w:asciiTheme="minorEastAsia" w:hAnsiTheme="minorEastAsia" w:eastAsiaTheme="minorEastAsia"/>
          <w:sz w:val="24"/>
          <w:szCs w:val="24"/>
          <w:lang w:val="en-US" w:eastAsia="zh-CN"/>
        </w:rPr>
        <w:t>股权构成本公司的关联交易。按香港上市规则第</w:t>
      </w:r>
      <w:r>
        <w:rPr>
          <w:rFonts w:cs="宋体" w:asciiTheme="minorEastAsia" w:hAnsiTheme="minorEastAsia" w:eastAsiaTheme="minorEastAsia"/>
          <w:sz w:val="24"/>
          <w:szCs w:val="24"/>
          <w:lang w:val="en-US" w:eastAsia="zh-CN"/>
        </w:rPr>
        <w:t>14.07</w:t>
      </w:r>
      <w:r>
        <w:rPr>
          <w:rFonts w:hint="eastAsia" w:cs="宋体" w:asciiTheme="minorEastAsia" w:hAnsiTheme="minorEastAsia" w:eastAsiaTheme="minorEastAsia"/>
          <w:sz w:val="24"/>
          <w:szCs w:val="24"/>
          <w:lang w:val="en-US" w:eastAsia="zh-CN"/>
        </w:rPr>
        <w:t>条所计算之最高适用百分比率高于</w:t>
      </w:r>
      <w:r>
        <w:rPr>
          <w:rFonts w:cs="宋体" w:asciiTheme="minorEastAsia" w:hAnsiTheme="minorEastAsia" w:eastAsiaTheme="minorEastAsia"/>
          <w:sz w:val="24"/>
          <w:szCs w:val="24"/>
          <w:lang w:val="en-US" w:eastAsia="zh-CN"/>
        </w:rPr>
        <w:t>5%</w:t>
      </w:r>
      <w:r>
        <w:rPr>
          <w:rFonts w:hint="eastAsia" w:cs="宋体" w:asciiTheme="minorEastAsia" w:hAnsiTheme="minorEastAsia" w:eastAsiaTheme="minorEastAsia"/>
          <w:sz w:val="24"/>
          <w:szCs w:val="24"/>
          <w:lang w:val="en-US" w:eastAsia="zh-CN"/>
        </w:rPr>
        <w:t>但低于</w:t>
      </w:r>
      <w:r>
        <w:rPr>
          <w:rFonts w:cs="宋体" w:asciiTheme="minorEastAsia" w:hAnsiTheme="minorEastAsia" w:eastAsiaTheme="minorEastAsia"/>
          <w:sz w:val="24"/>
          <w:szCs w:val="24"/>
          <w:lang w:val="en-US" w:eastAsia="zh-CN"/>
        </w:rPr>
        <w:t>25%</w:t>
      </w:r>
      <w:r>
        <w:rPr>
          <w:rFonts w:hint="eastAsia" w:cs="宋体" w:asciiTheme="minorEastAsia" w:hAnsiTheme="minorEastAsia" w:eastAsiaTheme="minorEastAsia"/>
          <w:sz w:val="24"/>
          <w:szCs w:val="24"/>
          <w:lang w:val="en-US" w:eastAsia="zh-CN"/>
        </w:rPr>
        <w:t>，本次收购苏锡常南部高速公司股权交易亦为本公司须予披露的交易。本次收购需遵守香港上市规则第</w:t>
      </w:r>
      <w:r>
        <w:rPr>
          <w:rFonts w:cs="宋体" w:asciiTheme="minorEastAsia" w:hAnsiTheme="minorEastAsia" w:eastAsiaTheme="minorEastAsia"/>
          <w:sz w:val="24"/>
          <w:szCs w:val="24"/>
          <w:lang w:val="en-US" w:eastAsia="zh-CN"/>
        </w:rPr>
        <w:t>14.33</w:t>
      </w:r>
      <w:r>
        <w:rPr>
          <w:rFonts w:hint="eastAsia" w:cs="宋体" w:asciiTheme="minorEastAsia" w:hAnsiTheme="minorEastAsia" w:eastAsiaTheme="minorEastAsia"/>
          <w:sz w:val="24"/>
          <w:szCs w:val="24"/>
          <w:lang w:val="en-US" w:eastAsia="zh-CN"/>
        </w:rPr>
        <w:t>、</w:t>
      </w:r>
      <w:r>
        <w:rPr>
          <w:rFonts w:cs="宋体" w:asciiTheme="minorEastAsia" w:hAnsiTheme="minorEastAsia" w:eastAsiaTheme="minorEastAsia"/>
          <w:sz w:val="24"/>
          <w:szCs w:val="24"/>
          <w:lang w:val="en-US" w:eastAsia="zh-CN"/>
        </w:rPr>
        <w:t>14A.35</w:t>
      </w:r>
      <w:r>
        <w:rPr>
          <w:rFonts w:hint="eastAsia" w:cs="宋体" w:asciiTheme="minorEastAsia" w:hAnsiTheme="minorEastAsia" w:eastAsiaTheme="minorEastAsia"/>
          <w:sz w:val="24"/>
          <w:szCs w:val="24"/>
          <w:lang w:val="en-US" w:eastAsia="zh-CN"/>
        </w:rPr>
        <w:t>、</w:t>
      </w:r>
      <w:r>
        <w:rPr>
          <w:rFonts w:cs="宋体" w:asciiTheme="minorEastAsia" w:hAnsiTheme="minorEastAsia" w:eastAsiaTheme="minorEastAsia"/>
          <w:sz w:val="24"/>
          <w:szCs w:val="24"/>
          <w:lang w:val="en-US" w:eastAsia="zh-CN"/>
        </w:rPr>
        <w:t>14A.36</w:t>
      </w:r>
      <w:r>
        <w:rPr>
          <w:rFonts w:hint="eastAsia" w:cs="宋体" w:asciiTheme="minorEastAsia" w:hAnsiTheme="minorEastAsia" w:eastAsiaTheme="minorEastAsia"/>
          <w:sz w:val="24"/>
          <w:szCs w:val="24"/>
          <w:lang w:val="en-US" w:eastAsia="zh-CN"/>
        </w:rPr>
        <w:t>及</w:t>
      </w:r>
      <w:r>
        <w:rPr>
          <w:rFonts w:cs="宋体" w:asciiTheme="minorEastAsia" w:hAnsiTheme="minorEastAsia" w:eastAsiaTheme="minorEastAsia"/>
          <w:sz w:val="24"/>
          <w:szCs w:val="24"/>
          <w:lang w:val="en-US" w:eastAsia="zh-CN"/>
        </w:rPr>
        <w:t>14A.46</w:t>
      </w:r>
      <w:r>
        <w:rPr>
          <w:rFonts w:hint="eastAsia" w:cs="宋体" w:asciiTheme="minorEastAsia" w:hAnsiTheme="minorEastAsia" w:eastAsiaTheme="minorEastAsia"/>
          <w:sz w:val="24"/>
          <w:szCs w:val="24"/>
          <w:lang w:val="en-US" w:eastAsia="zh-CN"/>
        </w:rPr>
        <w:t>条下之公告、通函及独立股东批准之规定。</w:t>
      </w:r>
    </w:p>
    <w:p>
      <w:pPr>
        <w:pStyle w:val="8"/>
        <w:spacing w:line="360" w:lineRule="auto"/>
        <w:ind w:firstLine="440"/>
        <w:contextualSpacing/>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本次关联交易不构成《上市公司重大资产重组管理办法》规定的重大资产重组。</w:t>
      </w:r>
    </w:p>
    <w:p>
      <w:pPr>
        <w:pStyle w:val="2"/>
        <w:rPr>
          <w:shd w:val="clear" w:color="auto" w:fill="FFFFFF"/>
        </w:rPr>
      </w:pPr>
      <w:r>
        <w:rPr>
          <w:rFonts w:hint="eastAsia"/>
          <w:shd w:val="clear" w:color="auto" w:fill="FFFFFF"/>
        </w:rPr>
        <w:t>关联人介绍</w:t>
      </w:r>
    </w:p>
    <w:p>
      <w:pPr>
        <w:pStyle w:val="4"/>
      </w:pPr>
      <w:r>
        <w:rPr>
          <w:rFonts w:hint="eastAsia"/>
        </w:rPr>
        <w:t>（一）关联人关系介绍</w:t>
      </w:r>
    </w:p>
    <w:p>
      <w:pPr>
        <w:adjustRightInd w:val="0"/>
        <w:snapToGrid w:val="0"/>
        <w:spacing w:before="156" w:beforeLines="50" w:after="156" w:afterLines="50" w:line="360" w:lineRule="auto"/>
        <w:ind w:firstLine="480" w:firstLineChars="200"/>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江苏交控为本公司的控股股东，根据上海上市规则第</w:t>
      </w:r>
      <w:r>
        <w:rPr>
          <w:rFonts w:cs="宋体" w:asciiTheme="minorEastAsia" w:hAnsiTheme="minorEastAsia" w:eastAsiaTheme="minorEastAsia"/>
          <w:sz w:val="24"/>
          <w:szCs w:val="24"/>
          <w:lang w:val="en-US" w:eastAsia="zh-CN"/>
        </w:rPr>
        <w:t>6.3.3</w:t>
      </w:r>
      <w:r>
        <w:rPr>
          <w:rFonts w:hint="eastAsia" w:cs="宋体" w:asciiTheme="minorEastAsia" w:hAnsiTheme="minorEastAsia" w:eastAsiaTheme="minorEastAsia"/>
          <w:sz w:val="24"/>
          <w:szCs w:val="24"/>
          <w:lang w:val="en-US" w:eastAsia="zh-CN"/>
        </w:rPr>
        <w:t>条规定，江苏交控是本公司的关联法人。</w:t>
      </w:r>
    </w:p>
    <w:p>
      <w:pPr>
        <w:pStyle w:val="4"/>
        <w:rPr>
          <w:shd w:val="clear" w:color="auto" w:fill="FFFFFF"/>
        </w:rPr>
      </w:pPr>
      <w:r>
        <w:rPr>
          <w:rFonts w:hint="eastAsia"/>
          <w:shd w:val="clear" w:color="auto" w:fill="FFFFFF"/>
        </w:rPr>
        <w:t>（二）交易对方基本情况</w:t>
      </w:r>
    </w:p>
    <w:p>
      <w:pPr>
        <w:pStyle w:val="5"/>
      </w:pPr>
      <w:r>
        <w:t>1</w:t>
      </w:r>
      <w:r>
        <w:rPr>
          <w:rFonts w:hint="eastAsia"/>
        </w:rPr>
        <w:t>、关联方基本情况</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5"/>
        <w:gridCol w:w="5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住所：</w:t>
            </w:r>
          </w:p>
        </w:tc>
        <w:tc>
          <w:tcPr>
            <w:tcW w:w="5324" w:type="dxa"/>
            <w:vAlign w:val="center"/>
          </w:tcPr>
          <w:p>
            <w:pPr>
              <w:pStyle w:val="31"/>
              <w:spacing w:line="360" w:lineRule="auto"/>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南京市江东中路</w:t>
            </w:r>
            <w:r>
              <w:rPr>
                <w:rFonts w:cs="宋体" w:asciiTheme="minorEastAsia" w:hAnsiTheme="minorEastAsia" w:eastAsiaTheme="minorEastAsia"/>
                <w:kern w:val="0"/>
                <w:lang w:eastAsia="zh-CN"/>
              </w:rPr>
              <w:t>399</w:t>
            </w:r>
            <w:r>
              <w:rPr>
                <w:rFonts w:hint="eastAsia" w:cs="宋体" w:asciiTheme="minorEastAsia" w:hAnsiTheme="minorEastAsia" w:eastAsiaTheme="minorEastAsia"/>
                <w:kern w:val="0"/>
                <w:lang w:eastAsia="zh-CN"/>
              </w:rPr>
              <w:t>号紫金金融中心</w:t>
            </w:r>
            <w:r>
              <w:rPr>
                <w:rFonts w:cs="宋体" w:asciiTheme="minorEastAsia" w:hAnsiTheme="minorEastAsia" w:eastAsiaTheme="minorEastAsia"/>
                <w:kern w:val="0"/>
                <w:lang w:eastAsia="zh-CN"/>
              </w:rPr>
              <w:t>A2</w:t>
            </w:r>
            <w:r>
              <w:rPr>
                <w:rFonts w:hint="eastAsia" w:cs="宋体" w:asciiTheme="minorEastAsia" w:hAnsiTheme="minorEastAsia" w:eastAsiaTheme="minorEastAsia"/>
                <w:kern w:val="0"/>
                <w:lang w:eastAsia="zh-CN"/>
              </w:rPr>
              <w:t>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spacing w:line="360" w:lineRule="auto"/>
              <w:rPr>
                <w:rFonts w:cs="宋体" w:asciiTheme="minorEastAsia" w:hAnsiTheme="minorEastAsia" w:eastAsiaTheme="minorEastAsia"/>
                <w:kern w:val="0"/>
                <w:sz w:val="24"/>
                <w:szCs w:val="24"/>
                <w:lang w:val="en-US" w:eastAsia="zh-CN"/>
              </w:rPr>
            </w:pPr>
            <w:r>
              <w:rPr>
                <w:rFonts w:hint="eastAsia" w:cs="宋体" w:asciiTheme="minorEastAsia" w:hAnsiTheme="minorEastAsia" w:eastAsiaTheme="minorEastAsia"/>
                <w:kern w:val="0"/>
                <w:sz w:val="24"/>
                <w:szCs w:val="24"/>
                <w:lang w:val="en-US" w:eastAsia="zh-CN"/>
              </w:rPr>
              <w:t>统一社会信用代码</w:t>
            </w:r>
            <w:r>
              <w:rPr>
                <w:rFonts w:cs="宋体" w:asciiTheme="minorEastAsia" w:hAnsiTheme="minorEastAsia" w:eastAsiaTheme="minorEastAsia"/>
                <w:kern w:val="0"/>
                <w:sz w:val="24"/>
                <w:szCs w:val="24"/>
                <w:lang w:val="en-US" w:eastAsia="zh-CN"/>
              </w:rPr>
              <w:t>:</w:t>
            </w:r>
          </w:p>
        </w:tc>
        <w:tc>
          <w:tcPr>
            <w:tcW w:w="5324" w:type="dxa"/>
            <w:vAlign w:val="center"/>
          </w:tcPr>
          <w:p>
            <w:pPr>
              <w:pStyle w:val="31"/>
              <w:spacing w:line="360" w:lineRule="auto"/>
              <w:jc w:val="both"/>
              <w:rPr>
                <w:rFonts w:cs="宋体" w:asciiTheme="minorEastAsia" w:hAnsiTheme="minorEastAsia" w:eastAsiaTheme="minorEastAsia"/>
                <w:kern w:val="0"/>
                <w:lang w:eastAsia="zh-CN"/>
              </w:rPr>
            </w:pPr>
            <w:r>
              <w:rPr>
                <w:rFonts w:cs="宋体" w:asciiTheme="minorEastAsia" w:hAnsiTheme="minorEastAsia" w:eastAsiaTheme="minorEastAsia"/>
                <w:kern w:val="0"/>
                <w:lang w:eastAsia="zh-CN"/>
              </w:rPr>
              <w:t>91320000134767063W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spacing w:line="360" w:lineRule="auto"/>
              <w:rPr>
                <w:rFonts w:cs="宋体" w:asciiTheme="minorEastAsia" w:hAnsiTheme="minorEastAsia" w:eastAsiaTheme="minorEastAsia"/>
                <w:kern w:val="0"/>
                <w:sz w:val="24"/>
                <w:szCs w:val="24"/>
                <w:lang w:val="en-US" w:eastAsia="zh-CN"/>
              </w:rPr>
            </w:pPr>
            <w:r>
              <w:rPr>
                <w:rFonts w:hint="eastAsia" w:cs="宋体" w:asciiTheme="minorEastAsia" w:hAnsiTheme="minorEastAsia" w:eastAsiaTheme="minorEastAsia"/>
                <w:kern w:val="0"/>
                <w:sz w:val="24"/>
                <w:szCs w:val="24"/>
                <w:lang w:val="en-US" w:eastAsia="zh-CN"/>
              </w:rPr>
              <w:t>成立日期</w:t>
            </w:r>
            <w:r>
              <w:rPr>
                <w:rFonts w:cs="宋体" w:asciiTheme="minorEastAsia" w:hAnsiTheme="minorEastAsia" w:eastAsiaTheme="minorEastAsia"/>
                <w:kern w:val="0"/>
                <w:sz w:val="24"/>
                <w:szCs w:val="24"/>
                <w:lang w:val="en-US" w:eastAsia="zh-CN"/>
              </w:rPr>
              <w:t>:</w:t>
            </w:r>
          </w:p>
        </w:tc>
        <w:tc>
          <w:tcPr>
            <w:tcW w:w="5324" w:type="dxa"/>
            <w:vAlign w:val="center"/>
          </w:tcPr>
          <w:p>
            <w:pPr>
              <w:pStyle w:val="31"/>
              <w:spacing w:line="360" w:lineRule="auto"/>
              <w:jc w:val="both"/>
              <w:rPr>
                <w:rFonts w:cs="宋体" w:asciiTheme="minorEastAsia" w:hAnsiTheme="minorEastAsia" w:eastAsiaTheme="minorEastAsia"/>
                <w:kern w:val="0"/>
                <w:lang w:eastAsia="zh-CN"/>
              </w:rPr>
            </w:pPr>
            <w:r>
              <w:rPr>
                <w:rFonts w:cs="宋体" w:asciiTheme="minorEastAsia" w:hAnsiTheme="minorEastAsia" w:eastAsiaTheme="minorEastAsia"/>
                <w:kern w:val="0"/>
                <w:lang w:eastAsia="zh-CN"/>
              </w:rPr>
              <w:t>1993</w:t>
            </w:r>
            <w:r>
              <w:rPr>
                <w:rFonts w:hint="eastAsia" w:cs="宋体" w:asciiTheme="minorEastAsia" w:hAnsiTheme="minorEastAsia" w:eastAsiaTheme="minorEastAsia"/>
                <w:kern w:val="0"/>
                <w:lang w:eastAsia="zh-CN"/>
              </w:rPr>
              <w:t>年</w:t>
            </w:r>
            <w:r>
              <w:rPr>
                <w:rFonts w:cs="宋体" w:asciiTheme="minorEastAsia" w:hAnsiTheme="minorEastAsia" w:eastAsiaTheme="minorEastAsia"/>
                <w:kern w:val="0"/>
                <w:lang w:eastAsia="zh-CN"/>
              </w:rPr>
              <w:t>3</w:t>
            </w:r>
            <w:r>
              <w:rPr>
                <w:rFonts w:hint="eastAsia" w:cs="宋体" w:asciiTheme="minorEastAsia" w:hAnsiTheme="minorEastAsia" w:eastAsiaTheme="minorEastAsia"/>
                <w:kern w:val="0"/>
                <w:lang w:eastAsia="zh-CN"/>
              </w:rPr>
              <w:t>月</w:t>
            </w:r>
            <w:r>
              <w:rPr>
                <w:rFonts w:cs="宋体" w:asciiTheme="minorEastAsia" w:hAnsiTheme="minorEastAsia" w:eastAsiaTheme="minorEastAsia"/>
                <w:kern w:val="0"/>
                <w:lang w:eastAsia="zh-CN"/>
              </w:rPr>
              <w:t>5</w:t>
            </w:r>
            <w:r>
              <w:rPr>
                <w:rFonts w:hint="eastAsia" w:cs="宋体" w:asciiTheme="minorEastAsia" w:hAnsiTheme="minorEastAsia" w:eastAsiaTheme="minorEastAsia"/>
                <w:kern w:val="0"/>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企业类型：</w:t>
            </w:r>
          </w:p>
        </w:tc>
        <w:tc>
          <w:tcPr>
            <w:tcW w:w="5324"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有限责任公司（国有独资）（注</w:t>
            </w:r>
            <w:r>
              <w:rPr>
                <w:rFonts w:cs="宋体" w:asciiTheme="minorEastAsia" w:hAnsiTheme="minorEastAsia" w:eastAsiaTheme="minorEastAsia"/>
                <w:kern w:val="0"/>
                <w:lang w:eastAsia="zh-CN"/>
              </w:rPr>
              <w:t>1</w:t>
            </w:r>
            <w:r>
              <w:rPr>
                <w:rFonts w:hint="eastAsia" w:cs="宋体" w:asciiTheme="minorEastAsia" w:hAnsiTheme="minorEastAsia" w:eastAsiaTheme="minorEastAsia"/>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法定代表人：</w:t>
            </w:r>
          </w:p>
        </w:tc>
        <w:tc>
          <w:tcPr>
            <w:tcW w:w="5324"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邓东升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注册资本：</w:t>
            </w:r>
          </w:p>
        </w:tc>
        <w:tc>
          <w:tcPr>
            <w:tcW w:w="5324"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人民币</w:t>
            </w:r>
            <w:r>
              <w:rPr>
                <w:rFonts w:cs="宋体" w:asciiTheme="minorEastAsia" w:hAnsiTheme="minorEastAsia" w:eastAsiaTheme="minorEastAsia"/>
                <w:kern w:val="0"/>
                <w:lang w:eastAsia="zh-CN"/>
              </w:rPr>
              <w:t>1,680,000</w:t>
            </w:r>
            <w:r>
              <w:rPr>
                <w:rFonts w:hint="eastAsia" w:cs="宋体" w:asciiTheme="minorEastAsia" w:hAnsiTheme="minorEastAsia" w:eastAsiaTheme="minorEastAsia"/>
                <w:kern w:val="0"/>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5" w:type="dxa"/>
            <w:vAlign w:val="center"/>
          </w:tcPr>
          <w:p>
            <w:pPr>
              <w:spacing w:line="360" w:lineRule="auto"/>
              <w:rPr>
                <w:rFonts w:cs="宋体" w:asciiTheme="minorEastAsia" w:hAnsiTheme="minorEastAsia" w:eastAsiaTheme="minorEastAsia"/>
                <w:kern w:val="0"/>
                <w:sz w:val="24"/>
                <w:szCs w:val="24"/>
                <w:lang w:val="en-US" w:eastAsia="zh-CN"/>
              </w:rPr>
            </w:pPr>
            <w:r>
              <w:rPr>
                <w:rFonts w:hint="eastAsia" w:cs="宋体" w:asciiTheme="minorEastAsia" w:hAnsiTheme="minorEastAsia" w:eastAsiaTheme="minorEastAsia"/>
                <w:kern w:val="0"/>
                <w:sz w:val="24"/>
                <w:szCs w:val="24"/>
                <w:lang w:val="en-US" w:eastAsia="zh-CN"/>
              </w:rPr>
              <w:t>主营业务：</w:t>
            </w:r>
          </w:p>
        </w:tc>
        <w:tc>
          <w:tcPr>
            <w:tcW w:w="5324" w:type="dxa"/>
            <w:vAlign w:val="center"/>
          </w:tcPr>
          <w:p>
            <w:pPr>
              <w:pStyle w:val="31"/>
              <w:tabs>
                <w:tab w:val="left" w:pos="960"/>
              </w:tabs>
              <w:spacing w:line="360" w:lineRule="auto"/>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从事国有资产经营、管理（在省政府授权范围内），交通基础设施、交通运输及相关产业的投资、建设、经营和管理，高速公路收费，实业投资，国内贸易。</w:t>
            </w:r>
            <w:r>
              <w:rPr>
                <w:rFonts w:cs="宋体" w:asciiTheme="minorEastAsia" w:hAnsiTheme="minorEastAsia" w:eastAsiaTheme="minorEastAsia"/>
                <w:kern w:val="0"/>
                <w:lang w:eastAsia="zh-CN"/>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trPr>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最近一个企业会计期末的总资产（</w:t>
            </w:r>
            <w:r>
              <w:rPr>
                <w:rFonts w:cs="宋体" w:asciiTheme="minorEastAsia" w:hAnsiTheme="minorEastAsia" w:eastAsiaTheme="minorEastAsia"/>
                <w:kern w:val="0"/>
                <w:lang w:eastAsia="zh-CN"/>
              </w:rPr>
              <w:t>2022</w:t>
            </w:r>
            <w:r>
              <w:rPr>
                <w:rFonts w:hint="eastAsia" w:cs="宋体" w:asciiTheme="minorEastAsia" w:hAnsiTheme="minorEastAsia" w:eastAsiaTheme="minorEastAsia"/>
                <w:kern w:val="0"/>
                <w:lang w:eastAsia="zh-CN"/>
              </w:rPr>
              <w:t>年度）：</w:t>
            </w:r>
          </w:p>
        </w:tc>
        <w:tc>
          <w:tcPr>
            <w:tcW w:w="5324" w:type="dxa"/>
            <w:vAlign w:val="center"/>
          </w:tcPr>
          <w:p>
            <w:pPr>
              <w:pStyle w:val="31"/>
              <w:tabs>
                <w:tab w:val="left" w:pos="960"/>
              </w:tabs>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人民币</w:t>
            </w:r>
            <w:r>
              <w:rPr>
                <w:rFonts w:cs="宋体" w:asciiTheme="minorEastAsia" w:hAnsiTheme="minorEastAsia" w:eastAsiaTheme="minorEastAsia"/>
                <w:kern w:val="0"/>
                <w:lang w:eastAsia="zh-CN"/>
              </w:rPr>
              <w:t>779,408,849,469.48</w:t>
            </w:r>
            <w:r>
              <w:rPr>
                <w:rFonts w:hint="eastAsia" w:cs="宋体" w:asciiTheme="minorEastAsia" w:hAnsiTheme="minorEastAsia" w:eastAsiaTheme="minorEastAsia"/>
                <w:kern w:val="0"/>
                <w:lang w:eastAsia="zh-CN"/>
              </w:rPr>
              <w:t>元（注</w:t>
            </w:r>
            <w:r>
              <w:rPr>
                <w:rFonts w:cs="宋体" w:asciiTheme="minorEastAsia" w:hAnsiTheme="minorEastAsia" w:eastAsiaTheme="minorEastAsia"/>
                <w:kern w:val="0"/>
                <w:lang w:eastAsia="zh-CN"/>
              </w:rPr>
              <w:t>2</w:t>
            </w:r>
            <w:r>
              <w:rPr>
                <w:rFonts w:hint="eastAsia" w:cs="宋体" w:asciiTheme="minorEastAsia" w:hAnsiTheme="minorEastAsia" w:eastAsiaTheme="minorEastAsia"/>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trPr>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最近一个企业会计期末的净资产（</w:t>
            </w:r>
            <w:r>
              <w:rPr>
                <w:rFonts w:cs="宋体" w:asciiTheme="minorEastAsia" w:hAnsiTheme="minorEastAsia" w:eastAsiaTheme="minorEastAsia"/>
                <w:kern w:val="0"/>
                <w:lang w:eastAsia="zh-CN"/>
              </w:rPr>
              <w:t>2022</w:t>
            </w:r>
            <w:r>
              <w:rPr>
                <w:rFonts w:hint="eastAsia" w:cs="宋体" w:asciiTheme="minorEastAsia" w:hAnsiTheme="minorEastAsia" w:eastAsiaTheme="minorEastAsia"/>
                <w:kern w:val="0"/>
                <w:lang w:eastAsia="zh-CN"/>
              </w:rPr>
              <w:t>年度）：</w:t>
            </w:r>
          </w:p>
        </w:tc>
        <w:tc>
          <w:tcPr>
            <w:tcW w:w="5324" w:type="dxa"/>
            <w:vAlign w:val="center"/>
          </w:tcPr>
          <w:p>
            <w:pPr>
              <w:pStyle w:val="31"/>
              <w:tabs>
                <w:tab w:val="left" w:pos="960"/>
              </w:tabs>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人民币</w:t>
            </w:r>
            <w:r>
              <w:rPr>
                <w:rFonts w:cs="宋体" w:asciiTheme="minorEastAsia" w:hAnsiTheme="minorEastAsia" w:eastAsiaTheme="minorEastAsia"/>
                <w:kern w:val="0"/>
                <w:lang w:eastAsia="zh-CN"/>
              </w:rPr>
              <w:t>299,683,763,862.43</w:t>
            </w:r>
            <w:r>
              <w:rPr>
                <w:rFonts w:hint="eastAsia" w:cs="宋体" w:asciiTheme="minorEastAsia" w:hAnsiTheme="minorEastAsia" w:eastAsiaTheme="minorEastAsia"/>
                <w:kern w:val="0"/>
                <w:lang w:eastAsia="zh-CN"/>
              </w:rPr>
              <w:t>元（注</w:t>
            </w:r>
            <w:r>
              <w:rPr>
                <w:rFonts w:cs="宋体" w:asciiTheme="minorEastAsia" w:hAnsiTheme="minorEastAsia" w:eastAsiaTheme="minorEastAsia"/>
                <w:kern w:val="0"/>
                <w:lang w:eastAsia="zh-CN"/>
              </w:rPr>
              <w:t>2</w:t>
            </w:r>
            <w:r>
              <w:rPr>
                <w:rFonts w:hint="eastAsia" w:cs="宋体" w:asciiTheme="minorEastAsia" w:hAnsiTheme="minorEastAsia" w:eastAsiaTheme="minorEastAsia"/>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最近一个企业会计期末的主营业务收入（</w:t>
            </w:r>
            <w:r>
              <w:rPr>
                <w:rFonts w:cs="宋体" w:asciiTheme="minorEastAsia" w:hAnsiTheme="minorEastAsia" w:eastAsiaTheme="minorEastAsia"/>
                <w:kern w:val="0"/>
                <w:lang w:eastAsia="zh-CN"/>
              </w:rPr>
              <w:t>2022</w:t>
            </w:r>
            <w:r>
              <w:rPr>
                <w:rFonts w:hint="eastAsia" w:cs="宋体" w:asciiTheme="minorEastAsia" w:hAnsiTheme="minorEastAsia" w:eastAsiaTheme="minorEastAsia"/>
                <w:kern w:val="0"/>
                <w:lang w:eastAsia="zh-CN"/>
              </w:rPr>
              <w:t>年度）：</w:t>
            </w:r>
          </w:p>
        </w:tc>
        <w:tc>
          <w:tcPr>
            <w:tcW w:w="5324" w:type="dxa"/>
            <w:vAlign w:val="center"/>
          </w:tcPr>
          <w:p>
            <w:pPr>
              <w:pStyle w:val="31"/>
              <w:tabs>
                <w:tab w:val="left" w:pos="960"/>
              </w:tabs>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人民币</w:t>
            </w:r>
            <w:r>
              <w:rPr>
                <w:rFonts w:cs="宋体" w:asciiTheme="minorEastAsia" w:hAnsiTheme="minorEastAsia" w:eastAsiaTheme="minorEastAsia"/>
                <w:kern w:val="0"/>
                <w:lang w:eastAsia="zh-CN"/>
              </w:rPr>
              <w:t>93,171,065,453.75</w:t>
            </w:r>
            <w:r>
              <w:rPr>
                <w:rFonts w:hint="eastAsia" w:cs="宋体" w:asciiTheme="minorEastAsia" w:hAnsiTheme="minorEastAsia" w:eastAsiaTheme="minorEastAsia"/>
                <w:kern w:val="0"/>
                <w:lang w:eastAsia="zh-CN"/>
              </w:rPr>
              <w:t>元（注</w:t>
            </w:r>
            <w:r>
              <w:rPr>
                <w:rFonts w:cs="宋体" w:asciiTheme="minorEastAsia" w:hAnsiTheme="minorEastAsia" w:eastAsiaTheme="minorEastAsia"/>
                <w:kern w:val="0"/>
                <w:lang w:eastAsia="zh-CN"/>
              </w:rPr>
              <w:t>2</w:t>
            </w:r>
            <w:r>
              <w:rPr>
                <w:rFonts w:hint="eastAsia" w:cs="宋体" w:asciiTheme="minorEastAsia" w:hAnsiTheme="minorEastAsia" w:eastAsiaTheme="minorEastAsia"/>
                <w:kern w:val="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trPr>
        <w:tc>
          <w:tcPr>
            <w:tcW w:w="2835" w:type="dxa"/>
            <w:vAlign w:val="center"/>
          </w:tcPr>
          <w:p>
            <w:pPr>
              <w:pStyle w:val="31"/>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最近一个企业会计期末的净利润（</w:t>
            </w:r>
            <w:r>
              <w:rPr>
                <w:rFonts w:cs="宋体" w:asciiTheme="minorEastAsia" w:hAnsiTheme="minorEastAsia" w:eastAsiaTheme="minorEastAsia"/>
                <w:kern w:val="0"/>
                <w:lang w:eastAsia="zh-CN"/>
              </w:rPr>
              <w:t>2022</w:t>
            </w:r>
            <w:r>
              <w:rPr>
                <w:rFonts w:hint="eastAsia" w:cs="宋体" w:asciiTheme="minorEastAsia" w:hAnsiTheme="minorEastAsia" w:eastAsiaTheme="minorEastAsia"/>
                <w:kern w:val="0"/>
                <w:lang w:eastAsia="zh-CN"/>
              </w:rPr>
              <w:t>年度）：</w:t>
            </w:r>
          </w:p>
        </w:tc>
        <w:tc>
          <w:tcPr>
            <w:tcW w:w="5324" w:type="dxa"/>
            <w:vAlign w:val="center"/>
          </w:tcPr>
          <w:p>
            <w:pPr>
              <w:pStyle w:val="31"/>
              <w:tabs>
                <w:tab w:val="left" w:pos="960"/>
              </w:tabs>
              <w:spacing w:line="360" w:lineRule="auto"/>
              <w:jc w:val="both"/>
              <w:rPr>
                <w:rFonts w:cs="宋体" w:asciiTheme="minorEastAsia" w:hAnsiTheme="minorEastAsia" w:eastAsiaTheme="minorEastAsia"/>
                <w:kern w:val="0"/>
                <w:lang w:eastAsia="zh-CN"/>
              </w:rPr>
            </w:pPr>
            <w:r>
              <w:rPr>
                <w:rFonts w:hint="eastAsia" w:cs="宋体" w:asciiTheme="minorEastAsia" w:hAnsiTheme="minorEastAsia" w:eastAsiaTheme="minorEastAsia"/>
                <w:kern w:val="0"/>
                <w:lang w:eastAsia="zh-CN"/>
              </w:rPr>
              <w:t>人民币</w:t>
            </w:r>
            <w:r>
              <w:rPr>
                <w:rFonts w:cs="宋体" w:asciiTheme="minorEastAsia" w:hAnsiTheme="minorEastAsia" w:eastAsiaTheme="minorEastAsia"/>
                <w:kern w:val="0"/>
                <w:lang w:eastAsia="zh-CN"/>
              </w:rPr>
              <w:t>11,620,621,124.71</w:t>
            </w:r>
            <w:r>
              <w:rPr>
                <w:rFonts w:hint="eastAsia" w:cs="宋体" w:asciiTheme="minorEastAsia" w:hAnsiTheme="minorEastAsia" w:eastAsiaTheme="minorEastAsia"/>
                <w:kern w:val="0"/>
                <w:lang w:eastAsia="zh-CN"/>
              </w:rPr>
              <w:t>元（注</w:t>
            </w:r>
            <w:r>
              <w:rPr>
                <w:rFonts w:cs="宋体" w:asciiTheme="minorEastAsia" w:hAnsiTheme="minorEastAsia" w:eastAsiaTheme="minorEastAsia"/>
                <w:kern w:val="0"/>
                <w:lang w:eastAsia="zh-CN"/>
              </w:rPr>
              <w:t>2</w:t>
            </w:r>
            <w:r>
              <w:rPr>
                <w:rFonts w:hint="eastAsia" w:cs="宋体" w:asciiTheme="minorEastAsia" w:hAnsiTheme="minorEastAsia" w:eastAsiaTheme="minorEastAsia"/>
                <w:kern w:val="0"/>
                <w:lang w:eastAsia="zh-CN"/>
              </w:rPr>
              <w:t>）</w:t>
            </w:r>
          </w:p>
        </w:tc>
      </w:tr>
    </w:tbl>
    <w:p>
      <w:pPr>
        <w:pStyle w:val="5"/>
        <w:rPr>
          <w:rFonts w:hint="eastAsia" w:cs="宋体" w:asciiTheme="minorEastAsia" w:hAnsiTheme="minorEastAsia" w:eastAsiaTheme="minorEastAsia"/>
          <w:sz w:val="24"/>
          <w:szCs w:val="24"/>
          <w:shd w:val="clear"/>
          <w:lang w:val="en-US" w:eastAsia="zh-CN" w:bidi="ar-SA"/>
        </w:rPr>
      </w:pPr>
      <w:r>
        <w:rPr>
          <w:rFonts w:hint="eastAsia" w:cs="宋体" w:asciiTheme="minorEastAsia" w:hAnsiTheme="minorEastAsia" w:eastAsiaTheme="minorEastAsia"/>
          <w:sz w:val="24"/>
          <w:szCs w:val="24"/>
          <w:shd w:val="clear"/>
          <w:lang w:val="en-US" w:eastAsia="zh-CN" w:bidi="ar-SA"/>
        </w:rPr>
        <w:t>注1：江苏交控最终实益拥有人为中国江苏省人民政府国有资产监督管理委员会</w:t>
      </w:r>
    </w:p>
    <w:p>
      <w:pPr>
        <w:pStyle w:val="5"/>
        <w:rPr>
          <w:rFonts w:hint="eastAsia" w:cs="宋体" w:asciiTheme="minorEastAsia" w:hAnsiTheme="minorEastAsia" w:eastAsiaTheme="minorEastAsia"/>
          <w:sz w:val="24"/>
          <w:szCs w:val="24"/>
          <w:shd w:val="clear"/>
          <w:lang w:val="en-US" w:eastAsia="zh-CN" w:bidi="ar-SA"/>
        </w:rPr>
      </w:pPr>
      <w:r>
        <w:rPr>
          <w:rFonts w:hint="eastAsia" w:cs="宋体" w:asciiTheme="minorEastAsia" w:hAnsiTheme="minorEastAsia" w:eastAsiaTheme="minorEastAsia"/>
          <w:sz w:val="24"/>
          <w:szCs w:val="24"/>
          <w:shd w:val="clear"/>
          <w:lang w:val="en-US" w:eastAsia="zh-CN" w:bidi="ar-SA"/>
        </w:rPr>
        <w:t>注2：江苏交控2022年度财务数由中兴华会计师事务所（特殊普通合伙）根据中华人民共和国企业会计标准审计</w:t>
      </w:r>
    </w:p>
    <w:p>
      <w:pPr>
        <w:pStyle w:val="5"/>
        <w:rPr>
          <w:rFonts w:hint="eastAsia" w:cs="宋体" w:asciiTheme="minorEastAsia" w:hAnsiTheme="minorEastAsia" w:eastAsiaTheme="minorEastAsia"/>
          <w:sz w:val="24"/>
          <w:szCs w:val="24"/>
          <w:shd w:val="clear"/>
          <w:lang w:val="en-US" w:eastAsia="zh-CN" w:bidi="ar-SA"/>
        </w:rPr>
      </w:pPr>
      <w:r>
        <w:rPr>
          <w:rFonts w:hint="eastAsia" w:cs="宋体" w:asciiTheme="minorEastAsia" w:hAnsiTheme="minorEastAsia" w:eastAsiaTheme="minorEastAsia"/>
          <w:sz w:val="24"/>
          <w:szCs w:val="24"/>
          <w:shd w:val="clear"/>
          <w:lang w:val="en-US" w:eastAsia="zh-CN" w:bidi="ar-SA"/>
        </w:rPr>
        <w:t>2、其他关系说明</w:t>
      </w:r>
    </w:p>
    <w:p>
      <w:pPr>
        <w:adjustRightInd w:val="0"/>
        <w:snapToGrid w:val="0"/>
        <w:spacing w:before="156" w:beforeLines="50" w:after="156" w:afterLines="50" w:line="360" w:lineRule="auto"/>
        <w:ind w:firstLine="480" w:firstLineChars="200"/>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江苏交控为本公司的控股股东，持有本公司</w:t>
      </w:r>
      <w:r>
        <w:rPr>
          <w:rFonts w:cs="宋体" w:asciiTheme="minorEastAsia" w:hAnsiTheme="minorEastAsia" w:eastAsiaTheme="minorEastAsia"/>
          <w:sz w:val="24"/>
          <w:szCs w:val="24"/>
          <w:lang w:val="en-US" w:eastAsia="zh-CN"/>
        </w:rPr>
        <w:t>54.44%</w:t>
      </w:r>
      <w:r>
        <w:rPr>
          <w:rFonts w:hint="eastAsia" w:cs="宋体" w:asciiTheme="minorEastAsia" w:hAnsiTheme="minorEastAsia" w:eastAsiaTheme="minorEastAsia"/>
          <w:sz w:val="24"/>
          <w:szCs w:val="24"/>
          <w:lang w:val="en-US" w:eastAsia="zh-CN"/>
        </w:rPr>
        <w:t>的股权。于本公告日，本公司、本公司控股子公司江苏广靖锡澄高速公路有限责任公司、江苏五峰山大桥有限公司及江苏云杉清洁能源投资控股有限公司向江苏交控的借款余额分别为人民币</w:t>
      </w:r>
      <w:r>
        <w:rPr>
          <w:rFonts w:cs="宋体" w:asciiTheme="minorEastAsia" w:hAnsiTheme="minorEastAsia" w:eastAsiaTheme="minorEastAsia"/>
          <w:sz w:val="24"/>
          <w:szCs w:val="24"/>
          <w:lang w:val="en-US" w:eastAsia="zh-CN"/>
        </w:rPr>
        <w:t>14.9617</w:t>
      </w:r>
      <w:r>
        <w:rPr>
          <w:rFonts w:hint="eastAsia" w:cs="宋体" w:asciiTheme="minorEastAsia" w:hAnsiTheme="minorEastAsia" w:eastAsiaTheme="minorEastAsia"/>
          <w:sz w:val="24"/>
          <w:szCs w:val="24"/>
          <w:lang w:val="en-US" w:eastAsia="zh-CN"/>
        </w:rPr>
        <w:t>亿元、人民币</w:t>
      </w:r>
      <w:r>
        <w:rPr>
          <w:rFonts w:cs="宋体" w:asciiTheme="minorEastAsia" w:hAnsiTheme="minorEastAsia" w:eastAsiaTheme="minorEastAsia"/>
          <w:sz w:val="24"/>
          <w:szCs w:val="24"/>
          <w:lang w:val="en-US" w:eastAsia="zh-CN"/>
        </w:rPr>
        <w:t>8.5</w:t>
      </w:r>
      <w:r>
        <w:rPr>
          <w:rFonts w:hint="eastAsia" w:cs="宋体" w:asciiTheme="minorEastAsia" w:hAnsiTheme="minorEastAsia" w:eastAsiaTheme="minorEastAsia"/>
          <w:sz w:val="24"/>
          <w:szCs w:val="24"/>
          <w:lang w:val="en-US" w:eastAsia="zh-CN"/>
        </w:rPr>
        <w:t>亿元、人民币</w:t>
      </w:r>
      <w:r>
        <w:rPr>
          <w:rFonts w:cs="宋体" w:asciiTheme="minorEastAsia" w:hAnsiTheme="minorEastAsia" w:eastAsiaTheme="minorEastAsia"/>
          <w:sz w:val="24"/>
          <w:szCs w:val="24"/>
          <w:lang w:val="en-US" w:eastAsia="zh-CN"/>
        </w:rPr>
        <w:t>5.5</w:t>
      </w:r>
      <w:r>
        <w:rPr>
          <w:rFonts w:hint="eastAsia" w:cs="宋体" w:asciiTheme="minorEastAsia" w:hAnsiTheme="minorEastAsia" w:eastAsiaTheme="minorEastAsia"/>
          <w:sz w:val="24"/>
          <w:szCs w:val="24"/>
          <w:lang w:val="en-US" w:eastAsia="zh-CN"/>
        </w:rPr>
        <w:t>亿元及人民币</w:t>
      </w:r>
      <w:r>
        <w:rPr>
          <w:rFonts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lang w:val="en-US" w:eastAsia="zh-CN"/>
        </w:rPr>
        <w:t xml:space="preserve">亿元。除本公司已刊发公告所载者外，江苏交控及其下属与本公司及其控股子公司之间不存在产权、业务、资产、人员等方面的其他关系。 </w:t>
      </w:r>
    </w:p>
    <w:p>
      <w:pPr>
        <w:pStyle w:val="2"/>
        <w:rPr>
          <w:shd w:val="clear" w:color="auto" w:fill="FFFFFF"/>
        </w:rPr>
      </w:pPr>
      <w:r>
        <w:rPr>
          <w:rFonts w:hint="eastAsia"/>
          <w:shd w:val="clear" w:color="auto" w:fill="FFFFFF"/>
        </w:rPr>
        <w:t>关联交易标的的基本情况</w:t>
      </w:r>
    </w:p>
    <w:p>
      <w:pPr>
        <w:pStyle w:val="4"/>
        <w:rPr>
          <w:shd w:val="clear" w:color="auto" w:fill="FFFFFF"/>
        </w:rPr>
      </w:pPr>
      <w:r>
        <w:rPr>
          <w:rFonts w:hint="eastAsia"/>
          <w:shd w:val="clear" w:color="auto" w:fill="FFFFFF"/>
        </w:rPr>
        <w:t>（一）交易标的概况</w:t>
      </w:r>
    </w:p>
    <w:p>
      <w:pPr>
        <w:pStyle w:val="5"/>
      </w:pPr>
      <w:r>
        <w:t>1</w:t>
      </w:r>
      <w:r>
        <w:rPr>
          <w:rFonts w:hint="eastAsia"/>
        </w:rPr>
        <w:t>、交易名称：购买关联人资产</w:t>
      </w:r>
    </w:p>
    <w:p>
      <w:pPr>
        <w:pStyle w:val="5"/>
      </w:pPr>
      <w:r>
        <w:t>2</w:t>
      </w:r>
      <w:r>
        <w:rPr>
          <w:rFonts w:hint="eastAsia"/>
        </w:rPr>
        <w:t>、苏锡常南部高速公司基本情况</w:t>
      </w:r>
    </w:p>
    <w:tbl>
      <w:tblPr>
        <w:tblStyle w:val="15"/>
        <w:tblW w:w="0" w:type="auto"/>
        <w:tblInd w:w="1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7"/>
        <w:gridCol w:w="5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977"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住所：</w:t>
            </w:r>
          </w:p>
        </w:tc>
        <w:tc>
          <w:tcPr>
            <w:tcW w:w="5182"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南京市玄武区中山东路</w:t>
            </w:r>
            <w:r>
              <w:rPr>
                <w:rFonts w:cs="宋体" w:asciiTheme="minorEastAsia" w:hAnsiTheme="minorEastAsia" w:eastAsiaTheme="minorEastAsia"/>
                <w:kern w:val="0"/>
                <w:shd w:val="clear" w:color="auto" w:fill="FFFFFF"/>
                <w:lang w:eastAsia="zh-CN"/>
              </w:rPr>
              <w:t xml:space="preserve">291 </w:t>
            </w:r>
            <w:r>
              <w:rPr>
                <w:rFonts w:hint="eastAsia" w:cs="宋体" w:asciiTheme="minorEastAsia" w:hAnsiTheme="minorEastAsia" w:eastAsiaTheme="minorEastAsia"/>
                <w:kern w:val="0"/>
                <w:shd w:val="clear" w:color="auto" w:fill="FFFFFF"/>
                <w:lang w:eastAsia="zh-CN"/>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2977" w:type="dxa"/>
            <w:vAlign w:val="center"/>
          </w:tcPr>
          <w:p>
            <w:pPr>
              <w:spacing w:line="360" w:lineRule="auto"/>
              <w:rPr>
                <w:rFonts w:cs="宋体" w:asciiTheme="minorEastAsia" w:hAnsiTheme="minorEastAsia" w:eastAsiaTheme="minorEastAsia"/>
                <w:kern w:val="0"/>
                <w:sz w:val="24"/>
                <w:szCs w:val="24"/>
                <w:shd w:val="clear" w:color="auto" w:fill="FFFFFF"/>
                <w:lang w:val="en-US" w:eastAsia="zh-CN"/>
              </w:rPr>
            </w:pPr>
            <w:r>
              <w:rPr>
                <w:rFonts w:hint="eastAsia" w:cs="宋体" w:asciiTheme="minorEastAsia" w:hAnsiTheme="minorEastAsia" w:eastAsiaTheme="minorEastAsia"/>
                <w:kern w:val="0"/>
                <w:sz w:val="24"/>
                <w:szCs w:val="24"/>
                <w:shd w:val="clear" w:color="auto" w:fill="FFFFFF"/>
                <w:lang w:val="en-US" w:eastAsia="zh-CN"/>
              </w:rPr>
              <w:t>统一社会信用代码</w:t>
            </w:r>
            <w:r>
              <w:rPr>
                <w:rFonts w:cs="宋体" w:asciiTheme="minorEastAsia" w:hAnsiTheme="minorEastAsia" w:eastAsiaTheme="minorEastAsia"/>
                <w:kern w:val="0"/>
                <w:sz w:val="24"/>
                <w:szCs w:val="24"/>
                <w:shd w:val="clear" w:color="auto" w:fill="FFFFFF"/>
                <w:lang w:val="en-US" w:eastAsia="zh-CN"/>
              </w:rPr>
              <w:t>:</w:t>
            </w:r>
          </w:p>
        </w:tc>
        <w:tc>
          <w:tcPr>
            <w:tcW w:w="5182"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91320000MA1NJPQ74F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977" w:type="dxa"/>
            <w:vAlign w:val="center"/>
          </w:tcPr>
          <w:p>
            <w:pPr>
              <w:spacing w:line="360" w:lineRule="auto"/>
              <w:rPr>
                <w:rFonts w:cs="宋体" w:asciiTheme="minorEastAsia" w:hAnsiTheme="minorEastAsia" w:eastAsiaTheme="minorEastAsia"/>
                <w:kern w:val="0"/>
                <w:sz w:val="24"/>
                <w:szCs w:val="24"/>
                <w:shd w:val="clear" w:color="auto" w:fill="FFFFFF"/>
                <w:lang w:val="en-US" w:eastAsia="zh-CN"/>
              </w:rPr>
            </w:pPr>
            <w:r>
              <w:rPr>
                <w:rFonts w:hint="eastAsia" w:cs="宋体" w:asciiTheme="minorEastAsia" w:hAnsiTheme="minorEastAsia" w:eastAsiaTheme="minorEastAsia"/>
                <w:kern w:val="0"/>
                <w:sz w:val="24"/>
                <w:szCs w:val="24"/>
                <w:shd w:val="clear" w:color="auto" w:fill="FFFFFF"/>
                <w:lang w:val="en-US" w:eastAsia="zh-CN"/>
              </w:rPr>
              <w:t>成立日期</w:t>
            </w:r>
            <w:r>
              <w:rPr>
                <w:rFonts w:cs="宋体" w:asciiTheme="minorEastAsia" w:hAnsiTheme="minorEastAsia" w:eastAsiaTheme="minorEastAsia"/>
                <w:kern w:val="0"/>
                <w:sz w:val="24"/>
                <w:szCs w:val="24"/>
                <w:shd w:val="clear" w:color="auto" w:fill="FFFFFF"/>
                <w:lang w:val="en-US" w:eastAsia="zh-CN"/>
              </w:rPr>
              <w:t>:</w:t>
            </w:r>
          </w:p>
        </w:tc>
        <w:tc>
          <w:tcPr>
            <w:tcW w:w="5182"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2017</w:t>
            </w:r>
            <w:r>
              <w:rPr>
                <w:rFonts w:hint="eastAsia" w:cs="宋体" w:asciiTheme="minorEastAsia" w:hAnsiTheme="minorEastAsia" w:eastAsiaTheme="minorEastAsia"/>
                <w:kern w:val="0"/>
                <w:shd w:val="clear" w:color="auto" w:fill="FFFFFF"/>
                <w:lang w:eastAsia="zh-CN"/>
              </w:rPr>
              <w:t>年</w:t>
            </w:r>
            <w:r>
              <w:rPr>
                <w:rFonts w:cs="宋体" w:asciiTheme="minorEastAsia" w:hAnsiTheme="minorEastAsia" w:eastAsiaTheme="minorEastAsia"/>
                <w:kern w:val="0"/>
                <w:shd w:val="clear" w:color="auto" w:fill="FFFFFF"/>
                <w:lang w:eastAsia="zh-CN"/>
              </w:rPr>
              <w:t>3</w:t>
            </w:r>
            <w:r>
              <w:rPr>
                <w:rFonts w:hint="eastAsia" w:cs="宋体" w:asciiTheme="minorEastAsia" w:hAnsiTheme="minorEastAsia" w:eastAsiaTheme="minorEastAsia"/>
                <w:kern w:val="0"/>
                <w:shd w:val="clear" w:color="auto" w:fill="FFFFFF"/>
                <w:lang w:eastAsia="zh-CN"/>
              </w:rPr>
              <w:t>月</w:t>
            </w:r>
            <w:r>
              <w:rPr>
                <w:rFonts w:cs="宋体" w:asciiTheme="minorEastAsia" w:hAnsiTheme="minorEastAsia" w:eastAsiaTheme="minorEastAsia"/>
                <w:kern w:val="0"/>
                <w:shd w:val="clear" w:color="auto" w:fill="FFFFFF"/>
                <w:lang w:eastAsia="zh-CN"/>
              </w:rPr>
              <w:t>14</w:t>
            </w:r>
            <w:r>
              <w:rPr>
                <w:rFonts w:hint="eastAsia" w:cs="宋体" w:asciiTheme="minorEastAsia" w:hAnsiTheme="minorEastAsia" w:eastAsiaTheme="minorEastAsia"/>
                <w:kern w:val="0"/>
                <w:shd w:val="clear" w:color="auto" w:fill="FFFFFF"/>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977"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企业类型：</w:t>
            </w:r>
          </w:p>
        </w:tc>
        <w:tc>
          <w:tcPr>
            <w:tcW w:w="5182"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trPr>
        <w:tc>
          <w:tcPr>
            <w:tcW w:w="2977"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法定代表人：</w:t>
            </w:r>
          </w:p>
        </w:tc>
        <w:tc>
          <w:tcPr>
            <w:tcW w:w="5182"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汪锋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2977"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注册资本：</w:t>
            </w:r>
          </w:p>
        </w:tc>
        <w:tc>
          <w:tcPr>
            <w:tcW w:w="5182" w:type="dxa"/>
            <w:vAlign w:val="center"/>
          </w:tcPr>
          <w:p>
            <w:pPr>
              <w:pStyle w:val="31"/>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人民币</w:t>
            </w:r>
            <w:r>
              <w:rPr>
                <w:rFonts w:cs="宋体" w:asciiTheme="minorEastAsia" w:hAnsiTheme="minorEastAsia" w:eastAsiaTheme="minorEastAsia"/>
                <w:kern w:val="0"/>
                <w:shd w:val="clear" w:color="auto" w:fill="FFFFFF"/>
                <w:lang w:eastAsia="zh-CN"/>
              </w:rPr>
              <w:t>795,620</w:t>
            </w:r>
            <w:r>
              <w:rPr>
                <w:rFonts w:hint="eastAsia" w:cs="宋体" w:asciiTheme="minorEastAsia" w:hAnsiTheme="minorEastAsia" w:eastAsiaTheme="minorEastAsia"/>
                <w:kern w:val="0"/>
                <w:shd w:val="clear" w:color="auto" w:fill="FFFFFF"/>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2977" w:type="dxa"/>
            <w:vAlign w:val="center"/>
          </w:tcPr>
          <w:p>
            <w:pPr>
              <w:spacing w:line="360" w:lineRule="auto"/>
              <w:rPr>
                <w:rFonts w:cs="宋体" w:asciiTheme="minorEastAsia" w:hAnsiTheme="minorEastAsia" w:eastAsiaTheme="minorEastAsia"/>
                <w:kern w:val="0"/>
                <w:sz w:val="24"/>
                <w:szCs w:val="24"/>
                <w:shd w:val="clear" w:color="auto" w:fill="FFFFFF"/>
                <w:lang w:val="en-US" w:eastAsia="zh-CN"/>
              </w:rPr>
            </w:pPr>
            <w:r>
              <w:rPr>
                <w:rFonts w:hint="eastAsia" w:cs="宋体" w:asciiTheme="minorEastAsia" w:hAnsiTheme="minorEastAsia" w:eastAsiaTheme="minorEastAsia"/>
                <w:kern w:val="0"/>
                <w:sz w:val="24"/>
                <w:szCs w:val="24"/>
                <w:shd w:val="clear" w:color="auto" w:fill="FFFFFF"/>
                <w:lang w:val="en-US" w:eastAsia="zh-CN"/>
              </w:rPr>
              <w:t>主营业务：</w:t>
            </w:r>
          </w:p>
        </w:tc>
        <w:tc>
          <w:tcPr>
            <w:tcW w:w="5182" w:type="dxa"/>
            <w:vAlign w:val="center"/>
          </w:tcPr>
          <w:p>
            <w:pPr>
              <w:pStyle w:val="31"/>
              <w:tabs>
                <w:tab w:val="left" w:pos="960"/>
              </w:tabs>
              <w:spacing w:line="360" w:lineRule="auto"/>
              <w:jc w:val="both"/>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苏锡常南部高速的建设、管理、经营和养护</w:t>
            </w:r>
          </w:p>
        </w:tc>
      </w:tr>
    </w:tbl>
    <w:p>
      <w:pPr>
        <w:pStyle w:val="31"/>
        <w:spacing w:before="240" w:line="360" w:lineRule="auto"/>
        <w:ind w:firstLine="480" w:firstLineChars="200"/>
        <w:jc w:val="both"/>
        <w:rPr>
          <w:rFonts w:cs="宋体" w:asciiTheme="minorEastAsia" w:hAnsiTheme="minorEastAsia" w:eastAsiaTheme="minorEastAsia"/>
          <w:shd w:val="clear" w:color="auto" w:fill="FFFFFF"/>
          <w:lang w:eastAsia="zh-CN"/>
        </w:rPr>
      </w:pPr>
      <w:r>
        <w:rPr>
          <w:rFonts w:hint="eastAsia" w:cs="宋体" w:asciiTheme="minorEastAsia" w:hAnsiTheme="minorEastAsia" w:eastAsiaTheme="minorEastAsia"/>
          <w:shd w:val="clear" w:color="auto" w:fill="FFFFFF"/>
          <w:lang w:eastAsia="zh-CN"/>
        </w:rPr>
        <w:t>于本公告日，苏锡常南部高速公司的股东信息如下：</w:t>
      </w:r>
    </w:p>
    <w:tbl>
      <w:tblPr>
        <w:tblStyle w:val="15"/>
        <w:tblW w:w="83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62"/>
        <w:gridCol w:w="2473"/>
        <w:gridCol w:w="2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062"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股东</w:t>
            </w:r>
          </w:p>
        </w:tc>
        <w:tc>
          <w:tcPr>
            <w:tcW w:w="2473" w:type="dxa"/>
            <w:vAlign w:val="center"/>
          </w:tcPr>
          <w:p>
            <w:pPr>
              <w:pStyle w:val="31"/>
              <w:spacing w:before="240" w:line="360" w:lineRule="auto"/>
              <w:ind w:right="240"/>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注册资本</w:t>
            </w:r>
          </w:p>
          <w:p>
            <w:pPr>
              <w:pStyle w:val="31"/>
              <w:spacing w:before="240" w:line="360" w:lineRule="auto"/>
              <w:ind w:right="240"/>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（人民币元）</w:t>
            </w:r>
          </w:p>
        </w:tc>
        <w:tc>
          <w:tcPr>
            <w:tcW w:w="2775" w:type="dxa"/>
            <w:vAlign w:val="center"/>
          </w:tcPr>
          <w:p>
            <w:pPr>
              <w:pStyle w:val="31"/>
              <w:spacing w:before="240" w:after="0" w:line="360" w:lineRule="auto"/>
              <w:ind w:right="720"/>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val="en-US" w:eastAsia="zh-CN"/>
              </w:rPr>
              <w:t xml:space="preserve">      </w:t>
            </w:r>
            <w:r>
              <w:rPr>
                <w:rFonts w:hint="eastAsia" w:asciiTheme="minorEastAsia" w:hAnsiTheme="minorEastAsia" w:eastAsiaTheme="minorEastAsia"/>
                <w:kern w:val="2"/>
                <w:lang w:eastAsia="zh-CN"/>
              </w:rPr>
              <w:t>股权（</w:t>
            </w:r>
            <w:r>
              <w:rPr>
                <w:rFonts w:asciiTheme="minorEastAsia" w:hAnsiTheme="minorEastAsia" w:eastAsiaTheme="minorEastAsia"/>
                <w:kern w:val="2"/>
                <w:lang w:eastAsia="zh-CN"/>
              </w:rPr>
              <w:t>%</w:t>
            </w:r>
            <w:r>
              <w:rPr>
                <w:rFonts w:hint="eastAsia" w:asciiTheme="minorEastAsia" w:hAnsiTheme="minorEastAsia" w:eastAsiaTheme="minorEastAsia"/>
                <w:kern w:val="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062"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江苏交通控股有限公司</w:t>
            </w:r>
          </w:p>
        </w:tc>
        <w:tc>
          <w:tcPr>
            <w:tcW w:w="2473"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5,171,530,000.00</w:t>
            </w:r>
          </w:p>
        </w:tc>
        <w:tc>
          <w:tcPr>
            <w:tcW w:w="2775"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rPr>
        <w:tc>
          <w:tcPr>
            <w:tcW w:w="3062"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无锡市交通产业集团有限公司</w:t>
            </w:r>
          </w:p>
        </w:tc>
        <w:tc>
          <w:tcPr>
            <w:tcW w:w="2473"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1,815,510,000.00</w:t>
            </w:r>
          </w:p>
        </w:tc>
        <w:tc>
          <w:tcPr>
            <w:tcW w:w="2775"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3062"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常州高速公路投资发展有限公司</w:t>
            </w:r>
          </w:p>
        </w:tc>
        <w:tc>
          <w:tcPr>
            <w:tcW w:w="2473"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969,160,000.00</w:t>
            </w:r>
          </w:p>
        </w:tc>
        <w:tc>
          <w:tcPr>
            <w:tcW w:w="2775" w:type="dxa"/>
            <w:vAlign w:val="center"/>
          </w:tcPr>
          <w:p>
            <w:pPr>
              <w:pStyle w:val="31"/>
              <w:spacing w:before="240" w:line="360" w:lineRule="auto"/>
              <w:contextualSpacing/>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12.2</w:t>
            </w:r>
          </w:p>
        </w:tc>
      </w:tr>
    </w:tbl>
    <w:p>
      <w:pPr>
        <w:pStyle w:val="4"/>
        <w:rPr>
          <w:highlight w:val="cyan"/>
          <w:shd w:val="clear" w:color="auto" w:fill="FFFFFF"/>
        </w:rPr>
      </w:pPr>
      <w:r>
        <w:rPr>
          <w:rFonts w:hint="eastAsia"/>
          <w:shd w:val="clear" w:color="auto" w:fill="FFFFFF"/>
        </w:rPr>
        <w:t>（二）交易标的产权状况</w:t>
      </w:r>
    </w:p>
    <w:p>
      <w:pPr>
        <w:adjustRightInd w:val="0"/>
        <w:snapToGrid w:val="0"/>
        <w:spacing w:before="156" w:beforeLines="50" w:after="156" w:afterLines="50" w:line="360" w:lineRule="auto"/>
        <w:ind w:firstLine="480" w:firstLineChars="200"/>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苏锡常南部高速公路常州至无锡段</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以下简称</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苏锡常南部高速</w:t>
      </w:r>
      <w:r>
        <w:rPr>
          <w:rFonts w:cs="宋体" w:asciiTheme="minorEastAsia" w:hAnsiTheme="minorEastAsia" w:eastAsiaTheme="minorEastAsia"/>
          <w:sz w:val="24"/>
          <w:szCs w:val="24"/>
          <w:lang w:val="en-US" w:eastAsia="zh-CN"/>
        </w:rPr>
        <w:t xml:space="preserve">” </w:t>
      </w:r>
      <w:r>
        <w:rPr>
          <w:rFonts w:hint="eastAsia" w:cs="宋体" w:asciiTheme="minorEastAsia" w:hAnsiTheme="minorEastAsia" w:eastAsiaTheme="minorEastAsia"/>
          <w:sz w:val="24"/>
          <w:szCs w:val="24"/>
          <w:lang w:val="en-US" w:eastAsia="zh-CN"/>
        </w:rPr>
        <w:t>或</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目标公路”</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起自常宜高速前黄枢纽，在前黄镇南侧跨越锡溧漕河改线段、常漕公路及新长铁路，与锡宜高速公路交叉后经潘家镇穿越常州太湖湾旅游度假区，经雪堰镇南进入无锡马山境内。在无锡境内向东通过太湖隧道，终于南泉枢纽，与无锡环太湖公路相接。</w:t>
      </w:r>
    </w:p>
    <w:p>
      <w:pPr>
        <w:adjustRightInd w:val="0"/>
        <w:snapToGrid w:val="0"/>
        <w:spacing w:before="156" w:beforeLines="50" w:after="156" w:afterLines="50" w:line="360" w:lineRule="auto"/>
        <w:ind w:firstLine="480" w:firstLineChars="200"/>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苏锡常南部高速含邀贤山隧道与太湖隧道等两处隧道，其中太湖隧道是目前国内最长最宽的水下隧道。项目沿线设</w:t>
      </w:r>
      <w:r>
        <w:rPr>
          <w:rFonts w:cs="宋体" w:asciiTheme="minorEastAsia" w:hAnsiTheme="minorEastAsia" w:eastAsiaTheme="minorEastAsia"/>
          <w:sz w:val="24"/>
          <w:szCs w:val="24"/>
          <w:lang w:val="en-US" w:eastAsia="zh-CN"/>
        </w:rPr>
        <w:t>4</w:t>
      </w:r>
      <w:r>
        <w:rPr>
          <w:rFonts w:hint="eastAsia" w:cs="宋体" w:asciiTheme="minorEastAsia" w:hAnsiTheme="minorEastAsia" w:eastAsiaTheme="minorEastAsia"/>
          <w:sz w:val="24"/>
          <w:szCs w:val="24"/>
          <w:lang w:val="en-US" w:eastAsia="zh-CN"/>
        </w:rPr>
        <w:t>处出入互通（运村、太湖湾、马山、军嶂），</w:t>
      </w:r>
      <w:r>
        <w:rPr>
          <w:rFonts w:cs="宋体" w:asciiTheme="minorEastAsia" w:hAnsiTheme="minorEastAsia" w:eastAsiaTheme="minorEastAsia"/>
          <w:sz w:val="24"/>
          <w:szCs w:val="24"/>
          <w:lang w:val="en-US" w:eastAsia="zh-CN"/>
        </w:rPr>
        <w:t>3</w:t>
      </w:r>
      <w:r>
        <w:rPr>
          <w:rFonts w:hint="eastAsia" w:cs="宋体" w:asciiTheme="minorEastAsia" w:hAnsiTheme="minorEastAsia" w:eastAsiaTheme="minorEastAsia"/>
          <w:sz w:val="24"/>
          <w:szCs w:val="24"/>
          <w:lang w:val="en-US" w:eastAsia="zh-CN"/>
        </w:rPr>
        <w:t>处枢纽互通（前黄枢纽、雪堰枢纽、南泉枢纽），</w:t>
      </w:r>
      <w:r>
        <w:rPr>
          <w:rFonts w:cs="宋体" w:asciiTheme="minorEastAsia" w:hAnsiTheme="minorEastAsia" w:eastAsiaTheme="minorEastAsia"/>
          <w:sz w:val="24"/>
          <w:szCs w:val="24"/>
          <w:lang w:val="en-US" w:eastAsia="zh-CN"/>
        </w:rPr>
        <w:t>1</w:t>
      </w:r>
      <w:r>
        <w:rPr>
          <w:rFonts w:hint="eastAsia" w:cs="宋体" w:asciiTheme="minorEastAsia" w:hAnsiTheme="minorEastAsia" w:eastAsiaTheme="minorEastAsia"/>
          <w:sz w:val="24"/>
          <w:szCs w:val="24"/>
          <w:lang w:val="en-US" w:eastAsia="zh-CN"/>
        </w:rPr>
        <w:t>处服务区（太湖湾服务区）。</w:t>
      </w:r>
    </w:p>
    <w:p>
      <w:pPr>
        <w:adjustRightInd w:val="0"/>
        <w:snapToGrid w:val="0"/>
        <w:spacing w:before="156" w:beforeLines="50" w:after="156" w:afterLines="50" w:line="360" w:lineRule="auto"/>
        <w:ind w:firstLine="480" w:firstLineChars="200"/>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以下是作参考之用的显示苏锡常南部高速及其与其他主要收费公路和高速公路连接的地图：</w:t>
      </w:r>
    </w:p>
    <w:p>
      <w:pPr>
        <w:pStyle w:val="31"/>
        <w:spacing w:line="360" w:lineRule="auto"/>
        <w:ind w:left="720"/>
        <w:jc w:val="center"/>
        <w:rPr>
          <w:rFonts w:cs="PMingLiU"/>
          <w:color w:val="231F20"/>
          <w:spacing w:val="49"/>
          <w:sz w:val="26"/>
          <w:szCs w:val="26"/>
          <w:lang w:eastAsia="zh-TW"/>
        </w:rPr>
      </w:pPr>
      <w:r>
        <w:rPr>
          <w:lang w:eastAsia="zh-CN"/>
        </w:rPr>
        <w:drawing>
          <wp:inline distT="0" distB="0" distL="0" distR="0">
            <wp:extent cx="4700905" cy="3148330"/>
            <wp:effectExtent l="0" t="0" r="444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708873" cy="3153677"/>
                    </a:xfrm>
                    <a:prstGeom prst="rect">
                      <a:avLst/>
                    </a:prstGeom>
                    <a:noFill/>
                    <a:ln>
                      <a:noFill/>
                    </a:ln>
                  </pic:spPr>
                </pic:pic>
              </a:graphicData>
            </a:graphic>
          </wp:inline>
        </w:drawing>
      </w:r>
    </w:p>
    <w:p>
      <w:pPr>
        <w:pStyle w:val="31"/>
        <w:spacing w:after="0" w:line="360" w:lineRule="auto"/>
        <w:ind w:left="720"/>
        <w:jc w:val="both"/>
        <w:rPr>
          <w:rFonts w:cs="宋体" w:asciiTheme="minorEastAsia" w:hAnsiTheme="minorEastAsia" w:eastAsiaTheme="minorEastAsia"/>
          <w:lang w:eastAsia="zh-CN"/>
        </w:rPr>
      </w:pPr>
      <w:r>
        <w:rPr>
          <w:rFonts w:cs="宋体" w:asciiTheme="minorEastAsia" w:hAnsiTheme="minorEastAsia" w:eastAsiaTheme="minorEastAsia"/>
          <w:lang w:eastAsia="zh-CN"/>
        </w:rPr>
        <w:drawing>
          <wp:inline distT="0" distB="0" distL="0" distR="0">
            <wp:extent cx="712470" cy="1638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7"/>
                    <a:stretch>
                      <a:fillRect/>
                    </a:stretch>
                  </pic:blipFill>
                  <pic:spPr>
                    <a:xfrm>
                      <a:off x="0" y="0"/>
                      <a:ext cx="721039" cy="165902"/>
                    </a:xfrm>
                    <a:prstGeom prst="rect">
                      <a:avLst/>
                    </a:prstGeom>
                  </pic:spPr>
                </pic:pic>
              </a:graphicData>
            </a:graphic>
          </wp:inline>
        </w:drawing>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代表苏锡常南部高速</w:t>
      </w:r>
    </w:p>
    <w:p>
      <w:pPr>
        <w:pStyle w:val="31"/>
        <w:spacing w:after="0" w:line="360" w:lineRule="auto"/>
        <w:ind w:left="1985" w:hanging="1276"/>
        <w:jc w:val="both"/>
        <w:rPr>
          <w:rFonts w:cs="宋体" w:asciiTheme="minorEastAsia" w:hAnsiTheme="minorEastAsia" w:eastAsiaTheme="minorEastAsia"/>
          <w:lang w:eastAsia="zh-CN"/>
        </w:rPr>
      </w:pPr>
      <w:r>
        <w:rPr>
          <w:rFonts w:cs="宋体" w:asciiTheme="minorEastAsia" w:hAnsiTheme="minorEastAsia" w:eastAsiaTheme="minorEastAsia"/>
          <w:lang w:eastAsia="zh-CN"/>
        </w:rPr>
        <w:drawing>
          <wp:inline distT="0" distB="0" distL="0" distR="0">
            <wp:extent cx="712470" cy="182880"/>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8"/>
                    <a:srcRect l="9937"/>
                    <a:stretch>
                      <a:fillRect/>
                    </a:stretch>
                  </pic:blipFill>
                  <pic:spPr>
                    <a:xfrm>
                      <a:off x="0" y="0"/>
                      <a:ext cx="739943" cy="190514"/>
                    </a:xfrm>
                    <a:prstGeom prst="rect">
                      <a:avLst/>
                    </a:prstGeom>
                    <a:ln>
                      <a:noFill/>
                    </a:ln>
                  </pic:spPr>
                </pic:pic>
              </a:graphicData>
            </a:graphic>
          </wp:inline>
        </w:drawing>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代表本集团拥有和经营且与苏锡常南部高速公路紧密相关的收费公路</w:t>
      </w:r>
    </w:p>
    <w:p>
      <w:pPr>
        <w:pStyle w:val="31"/>
        <w:spacing w:after="0" w:line="360" w:lineRule="auto"/>
        <w:ind w:left="720"/>
        <w:jc w:val="both"/>
        <w:rPr>
          <w:rFonts w:cs="宋体" w:asciiTheme="minorEastAsia" w:hAnsiTheme="minorEastAsia" w:eastAsiaTheme="minorEastAsia"/>
          <w:lang w:eastAsia="zh-CN"/>
        </w:rPr>
      </w:pPr>
      <w:r>
        <w:rPr>
          <w:rFonts w:cs="宋体" w:asciiTheme="minorEastAsia" w:hAnsiTheme="minorEastAsia" w:eastAsiaTheme="minorEastAsia"/>
          <w:lang w:eastAsia="zh-CN"/>
        </w:rPr>
        <w:drawing>
          <wp:inline distT="0" distB="0" distL="0" distR="0">
            <wp:extent cx="706120" cy="2133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9"/>
                    <a:stretch>
                      <a:fillRect/>
                    </a:stretch>
                  </pic:blipFill>
                  <pic:spPr>
                    <a:xfrm>
                      <a:off x="0" y="0"/>
                      <a:ext cx="739881" cy="223830"/>
                    </a:xfrm>
                    <a:prstGeom prst="rect">
                      <a:avLst/>
                    </a:prstGeom>
                  </pic:spPr>
                </pic:pic>
              </a:graphicData>
            </a:graphic>
          </wp:inline>
        </w:drawing>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代表本集团预期拥有和经营的收费公路</w:t>
      </w:r>
    </w:p>
    <w:p>
      <w:pPr>
        <w:pStyle w:val="31"/>
        <w:spacing w:after="0" w:line="360" w:lineRule="auto"/>
        <w:ind w:left="720"/>
        <w:jc w:val="both"/>
        <w:rPr>
          <w:rFonts w:cs="宋体" w:asciiTheme="minorEastAsia" w:hAnsiTheme="minorEastAsia" w:eastAsiaTheme="minorEastAsia"/>
          <w:lang w:eastAsia="zh-CN"/>
        </w:rPr>
      </w:pPr>
      <w:r>
        <w:rPr>
          <w:rFonts w:cs="宋体" w:asciiTheme="minorEastAsia" w:hAnsiTheme="minorEastAsia" w:eastAsiaTheme="minorEastAsia"/>
          <w:lang w:eastAsia="zh-CN"/>
        </w:rPr>
        <w:drawing>
          <wp:inline distT="0" distB="0" distL="0" distR="0">
            <wp:extent cx="712470" cy="19240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0"/>
                    <a:stretch>
                      <a:fillRect/>
                    </a:stretch>
                  </pic:blipFill>
                  <pic:spPr>
                    <a:xfrm>
                      <a:off x="0" y="0"/>
                      <a:ext cx="725471" cy="196234"/>
                    </a:xfrm>
                    <a:prstGeom prst="rect">
                      <a:avLst/>
                    </a:prstGeom>
                  </pic:spPr>
                </pic:pic>
              </a:graphicData>
            </a:graphic>
          </wp:inline>
        </w:drawing>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代表连结本集团拥有和经营的收费公路的收费公路</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收费里程：约</w:t>
      </w:r>
      <w:r>
        <w:rPr>
          <w:rFonts w:cs="宋体" w:asciiTheme="minorEastAsia" w:hAnsiTheme="minorEastAsia" w:eastAsiaTheme="minorEastAsia"/>
          <w:lang w:eastAsia="zh-CN"/>
        </w:rPr>
        <w:t xml:space="preserve"> 43.9 </w:t>
      </w:r>
      <w:r>
        <w:rPr>
          <w:rFonts w:hint="eastAsia" w:cs="宋体" w:asciiTheme="minorEastAsia" w:hAnsiTheme="minorEastAsia" w:eastAsiaTheme="minorEastAsia"/>
          <w:lang w:eastAsia="zh-CN"/>
        </w:rPr>
        <w:t>公里</w:t>
      </w:r>
      <w:r>
        <w:rPr>
          <w:rFonts w:cs="宋体" w:asciiTheme="minorEastAsia" w:hAnsiTheme="minorEastAsia" w:eastAsiaTheme="minorEastAsia"/>
          <w:lang w:eastAsia="zh-CN"/>
        </w:rPr>
        <w:t xml:space="preserve"> </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设计行车速度：前黄枢纽至马山互通段</w:t>
      </w:r>
      <w:r>
        <w:rPr>
          <w:rFonts w:cs="宋体" w:asciiTheme="minorEastAsia" w:hAnsiTheme="minorEastAsia" w:eastAsiaTheme="minorEastAsia"/>
          <w:lang w:eastAsia="zh-CN"/>
        </w:rPr>
        <w:t xml:space="preserve">120 </w:t>
      </w:r>
      <w:r>
        <w:rPr>
          <w:rFonts w:hint="eastAsia" w:cs="宋体" w:asciiTheme="minorEastAsia" w:hAnsiTheme="minorEastAsia" w:eastAsiaTheme="minorEastAsia"/>
          <w:lang w:eastAsia="zh-CN"/>
        </w:rPr>
        <w:t>公里</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小时、</w:t>
      </w:r>
    </w:p>
    <w:p>
      <w:pPr>
        <w:pStyle w:val="31"/>
        <w:spacing w:before="240" w:line="360" w:lineRule="auto"/>
        <w:ind w:firstLine="2160" w:firstLineChars="9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马山互通至南泉枢纽段</w:t>
      </w:r>
      <w:r>
        <w:rPr>
          <w:rFonts w:cs="宋体" w:asciiTheme="minorEastAsia" w:hAnsiTheme="minorEastAsia" w:eastAsiaTheme="minorEastAsia"/>
          <w:lang w:eastAsia="zh-CN"/>
        </w:rPr>
        <w:t xml:space="preserve">100 </w:t>
      </w:r>
      <w:r>
        <w:rPr>
          <w:rFonts w:hint="eastAsia" w:cs="宋体" w:asciiTheme="minorEastAsia" w:hAnsiTheme="minorEastAsia" w:eastAsiaTheme="minorEastAsia"/>
          <w:lang w:eastAsia="zh-CN"/>
        </w:rPr>
        <w:t>公里</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小时</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车道数目：</w:t>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双向六车道</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收费站数目：</w:t>
      </w:r>
      <w:bookmarkStart w:id="3" w:name="_Hlk154751739"/>
      <w:r>
        <w:rPr>
          <w:rFonts w:cs="宋体" w:asciiTheme="minorEastAsia" w:hAnsiTheme="minorEastAsia" w:eastAsiaTheme="minorEastAsia"/>
          <w:lang w:eastAsia="zh-CN"/>
        </w:rPr>
        <w:t xml:space="preserve"> 4</w:t>
      </w:r>
      <w:r>
        <w:rPr>
          <w:rFonts w:hint="eastAsia" w:cs="宋体" w:asciiTheme="minorEastAsia" w:hAnsiTheme="minorEastAsia" w:eastAsiaTheme="minorEastAsia"/>
          <w:lang w:eastAsia="zh-CN"/>
        </w:rPr>
        <w:t>个</w:t>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分别是运村、太湖湾、马山、军嶂</w:t>
      </w:r>
    </w:p>
    <w:bookmarkEnd w:id="3"/>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正式开通：</w:t>
      </w:r>
      <w:r>
        <w:rPr>
          <w:rFonts w:cs="宋体" w:asciiTheme="minorEastAsia" w:hAnsiTheme="minorEastAsia" w:eastAsiaTheme="minorEastAsia"/>
          <w:lang w:eastAsia="zh-CN"/>
        </w:rPr>
        <w:t xml:space="preserve"> 2021</w:t>
      </w:r>
      <w:r>
        <w:rPr>
          <w:rFonts w:hint="eastAsia" w:cs="宋体" w:asciiTheme="minorEastAsia" w:hAnsiTheme="minorEastAsia" w:eastAsiaTheme="minorEastAsia"/>
          <w:lang w:eastAsia="zh-CN"/>
        </w:rPr>
        <w:t>年</w:t>
      </w:r>
      <w:r>
        <w:rPr>
          <w:rFonts w:cs="宋体" w:asciiTheme="minorEastAsia" w:hAnsiTheme="minorEastAsia" w:eastAsiaTheme="minorEastAsia"/>
          <w:lang w:eastAsia="zh-CN"/>
        </w:rPr>
        <w:t>12</w:t>
      </w:r>
      <w:r>
        <w:rPr>
          <w:rFonts w:hint="eastAsia" w:cs="宋体" w:asciiTheme="minorEastAsia" w:hAnsiTheme="minorEastAsia" w:eastAsiaTheme="minorEastAsia"/>
          <w:lang w:eastAsia="zh-CN"/>
        </w:rPr>
        <w:t>月</w:t>
      </w:r>
      <w:r>
        <w:rPr>
          <w:rFonts w:cs="宋体" w:asciiTheme="minorEastAsia" w:hAnsiTheme="minorEastAsia" w:eastAsiaTheme="minorEastAsia"/>
          <w:lang w:eastAsia="zh-CN"/>
        </w:rPr>
        <w:t>30</w:t>
      </w:r>
      <w:r>
        <w:rPr>
          <w:rFonts w:hint="eastAsia" w:cs="宋体" w:asciiTheme="minorEastAsia" w:hAnsiTheme="minorEastAsia" w:eastAsiaTheme="minorEastAsia"/>
          <w:lang w:eastAsia="zh-CN"/>
        </w:rPr>
        <w:t>日</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交工验收：</w:t>
      </w:r>
      <w:r>
        <w:rPr>
          <w:rFonts w:cs="宋体" w:asciiTheme="minorEastAsia" w:hAnsiTheme="minorEastAsia" w:eastAsiaTheme="minorEastAsia"/>
          <w:lang w:eastAsia="zh-CN"/>
        </w:rPr>
        <w:t xml:space="preserve"> 2021</w:t>
      </w:r>
      <w:r>
        <w:rPr>
          <w:rFonts w:hint="eastAsia" w:cs="宋体" w:asciiTheme="minorEastAsia" w:hAnsiTheme="minorEastAsia" w:eastAsiaTheme="minorEastAsia"/>
          <w:lang w:eastAsia="zh-CN"/>
        </w:rPr>
        <w:t>年</w:t>
      </w:r>
      <w:r>
        <w:rPr>
          <w:rFonts w:cs="宋体" w:asciiTheme="minorEastAsia" w:hAnsiTheme="minorEastAsia" w:eastAsiaTheme="minorEastAsia"/>
          <w:lang w:eastAsia="zh-CN"/>
        </w:rPr>
        <w:t>12</w:t>
      </w:r>
      <w:r>
        <w:rPr>
          <w:rFonts w:hint="eastAsia" w:cs="宋体" w:asciiTheme="minorEastAsia" w:hAnsiTheme="minorEastAsia" w:eastAsiaTheme="minorEastAsia"/>
          <w:lang w:eastAsia="zh-CN"/>
        </w:rPr>
        <w:t>月</w:t>
      </w:r>
      <w:r>
        <w:rPr>
          <w:rFonts w:cs="宋体" w:asciiTheme="minorEastAsia" w:hAnsiTheme="minorEastAsia" w:eastAsiaTheme="minorEastAsia"/>
          <w:lang w:eastAsia="zh-CN"/>
        </w:rPr>
        <w:t>28</w:t>
      </w:r>
      <w:r>
        <w:rPr>
          <w:rFonts w:hint="eastAsia" w:cs="宋体" w:asciiTheme="minorEastAsia" w:hAnsiTheme="minorEastAsia" w:eastAsiaTheme="minorEastAsia"/>
          <w:lang w:eastAsia="zh-CN"/>
        </w:rPr>
        <w:t>日</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收费权期限届满日：</w:t>
      </w:r>
      <w:r>
        <w:rPr>
          <w:rFonts w:cs="宋体" w:asciiTheme="minorEastAsia" w:hAnsiTheme="minorEastAsia" w:eastAsiaTheme="minorEastAsia"/>
          <w:lang w:eastAsia="zh-CN"/>
        </w:rPr>
        <w:t xml:space="preserve"> 25</w:t>
      </w:r>
      <w:r>
        <w:rPr>
          <w:rFonts w:hint="eastAsia" w:cs="宋体" w:asciiTheme="minorEastAsia" w:hAnsiTheme="minorEastAsia" w:eastAsiaTheme="minorEastAsia"/>
          <w:lang w:eastAsia="zh-CN"/>
        </w:rPr>
        <w:t>年</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将于</w:t>
      </w:r>
      <w:r>
        <w:rPr>
          <w:rFonts w:cs="宋体" w:asciiTheme="minorEastAsia" w:hAnsiTheme="minorEastAsia" w:eastAsiaTheme="minorEastAsia"/>
          <w:lang w:eastAsia="zh-CN"/>
        </w:rPr>
        <w:t>2046</w:t>
      </w:r>
      <w:r>
        <w:rPr>
          <w:rFonts w:hint="eastAsia" w:cs="宋体" w:asciiTheme="minorEastAsia" w:hAnsiTheme="minorEastAsia" w:eastAsiaTheme="minorEastAsia"/>
          <w:lang w:eastAsia="zh-CN"/>
        </w:rPr>
        <w:t>年</w:t>
      </w:r>
      <w:r>
        <w:rPr>
          <w:rFonts w:cs="宋体" w:asciiTheme="minorEastAsia" w:hAnsiTheme="minorEastAsia" w:eastAsiaTheme="minorEastAsia"/>
          <w:lang w:eastAsia="zh-CN"/>
        </w:rPr>
        <w:t>12</w:t>
      </w:r>
      <w:r>
        <w:rPr>
          <w:rFonts w:hint="eastAsia" w:cs="宋体" w:asciiTheme="minorEastAsia" w:hAnsiTheme="minorEastAsia" w:eastAsiaTheme="minorEastAsia"/>
          <w:lang w:eastAsia="zh-CN"/>
        </w:rPr>
        <w:t>月</w:t>
      </w:r>
      <w:r>
        <w:rPr>
          <w:rFonts w:cs="宋体" w:asciiTheme="minorEastAsia" w:hAnsiTheme="minorEastAsia" w:eastAsiaTheme="minorEastAsia"/>
          <w:lang w:eastAsia="zh-CN"/>
        </w:rPr>
        <w:t>29</w:t>
      </w:r>
      <w:r>
        <w:rPr>
          <w:rFonts w:hint="eastAsia" w:cs="宋体" w:asciiTheme="minorEastAsia" w:hAnsiTheme="minorEastAsia" w:eastAsiaTheme="minorEastAsia"/>
          <w:lang w:eastAsia="zh-CN"/>
        </w:rPr>
        <w:t>日</w:t>
      </w:r>
      <w:r>
        <w:rPr>
          <w:rFonts w:cs="宋体" w:asciiTheme="minorEastAsia" w:hAnsiTheme="minorEastAsia" w:eastAsiaTheme="minorEastAsia"/>
          <w:lang w:eastAsia="zh-CN"/>
        </w:rPr>
        <w:t xml:space="preserve"> </w:t>
      </w:r>
      <w:r>
        <w:rPr>
          <w:rFonts w:hint="eastAsia" w:cs="宋体" w:asciiTheme="minorEastAsia" w:hAnsiTheme="minorEastAsia" w:eastAsiaTheme="minorEastAsia"/>
          <w:lang w:eastAsia="zh-CN"/>
        </w:rPr>
        <w:t>到期</w:t>
      </w:r>
    </w:p>
    <w:p>
      <w:pPr>
        <w:pStyle w:val="31"/>
        <w:spacing w:before="240" w:line="360" w:lineRule="auto"/>
        <w:ind w:firstLine="480" w:firstLineChars="20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苏锡常南部高速的收费标准经江苏省人民政府批准如下：</w:t>
      </w:r>
    </w:p>
    <w:p>
      <w:pPr>
        <w:pStyle w:val="31"/>
        <w:numPr>
          <w:ilvl w:val="0"/>
          <w:numId w:val="3"/>
        </w:numPr>
        <w:spacing w:before="240" w:line="360" w:lineRule="auto"/>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一至四类客车分别为</w:t>
      </w:r>
      <w:r>
        <w:rPr>
          <w:rFonts w:cs="宋体" w:asciiTheme="minorEastAsia" w:hAnsiTheme="minorEastAsia" w:eastAsiaTheme="minorEastAsia"/>
          <w:lang w:eastAsia="zh-CN"/>
        </w:rPr>
        <w:t>0.55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公里、</w:t>
      </w:r>
      <w:r>
        <w:rPr>
          <w:rFonts w:cs="宋体" w:asciiTheme="minorEastAsia" w:hAnsiTheme="minorEastAsia" w:eastAsiaTheme="minorEastAsia"/>
          <w:lang w:eastAsia="zh-CN"/>
        </w:rPr>
        <w:t>0.825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公里、</w:t>
      </w:r>
      <w:r>
        <w:rPr>
          <w:rFonts w:cs="宋体" w:asciiTheme="minorEastAsia" w:hAnsiTheme="minorEastAsia" w:eastAsiaTheme="minorEastAsia"/>
          <w:lang w:eastAsia="zh-CN"/>
        </w:rPr>
        <w:t>1.1</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公里、</w:t>
      </w:r>
      <w:r>
        <w:rPr>
          <w:rFonts w:cs="宋体" w:asciiTheme="minorEastAsia" w:hAnsiTheme="minorEastAsia" w:eastAsiaTheme="minorEastAsia"/>
          <w:lang w:eastAsia="zh-CN"/>
        </w:rPr>
        <w:t>1.1</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公里；</w:t>
      </w:r>
    </w:p>
    <w:p>
      <w:pPr>
        <w:pStyle w:val="3"/>
        <w:numPr>
          <w:ilvl w:val="0"/>
          <w:numId w:val="3"/>
        </w:numPr>
        <w:spacing w:before="0" w:after="0" w:line="360" w:lineRule="auto"/>
        <w:ind w:firstLineChars="0"/>
        <w:contextualSpacing/>
        <w:jc w:val="left"/>
        <w:rPr>
          <w:rFonts w:cs="宋体" w:asciiTheme="minorEastAsia" w:hAnsiTheme="minorEastAsia" w:eastAsiaTheme="minorEastAsia"/>
          <w:sz w:val="24"/>
          <w:szCs w:val="24"/>
          <w:lang w:val="en-US" w:eastAsia="zh-CN"/>
        </w:rPr>
      </w:pPr>
      <w:r>
        <w:rPr>
          <w:rFonts w:hint="eastAsia" w:cs="宋体" w:asciiTheme="minorEastAsia" w:hAnsiTheme="minorEastAsia" w:eastAsiaTheme="minorEastAsia"/>
          <w:sz w:val="24"/>
          <w:szCs w:val="24"/>
          <w:lang w:val="en-US" w:eastAsia="zh-CN"/>
        </w:rPr>
        <w:t>一至六类货车分别为</w:t>
      </w:r>
      <w:r>
        <w:rPr>
          <w:rFonts w:cs="宋体" w:asciiTheme="minorEastAsia" w:hAnsiTheme="minorEastAsia" w:eastAsiaTheme="minorEastAsia"/>
          <w:sz w:val="24"/>
          <w:szCs w:val="24"/>
          <w:lang w:val="en-US" w:eastAsia="zh-CN"/>
        </w:rPr>
        <w:t>0.45</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公里、</w:t>
      </w:r>
      <w:r>
        <w:rPr>
          <w:rFonts w:cs="宋体" w:asciiTheme="minorEastAsia" w:hAnsiTheme="minorEastAsia" w:eastAsiaTheme="minorEastAsia"/>
          <w:sz w:val="24"/>
          <w:szCs w:val="24"/>
          <w:lang w:val="en-US" w:eastAsia="zh-CN"/>
        </w:rPr>
        <w:t>0.977</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公里、</w:t>
      </w:r>
      <w:r>
        <w:rPr>
          <w:rFonts w:cs="宋体" w:asciiTheme="minorEastAsia" w:hAnsiTheme="minorEastAsia" w:eastAsiaTheme="minorEastAsia"/>
          <w:sz w:val="24"/>
          <w:szCs w:val="24"/>
          <w:lang w:val="en-US" w:eastAsia="zh-CN"/>
        </w:rPr>
        <w:t>1.35</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公里、</w:t>
      </w:r>
      <w:r>
        <w:rPr>
          <w:rFonts w:cs="宋体" w:asciiTheme="minorEastAsia" w:hAnsiTheme="minorEastAsia" w:eastAsiaTheme="minorEastAsia"/>
          <w:sz w:val="24"/>
          <w:szCs w:val="24"/>
          <w:lang w:val="en-US" w:eastAsia="zh-CN"/>
        </w:rPr>
        <w:t>1.805</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公里、</w:t>
      </w:r>
      <w:r>
        <w:rPr>
          <w:rFonts w:cs="宋体" w:asciiTheme="minorEastAsia" w:hAnsiTheme="minorEastAsia" w:eastAsiaTheme="minorEastAsia"/>
          <w:sz w:val="24"/>
          <w:szCs w:val="24"/>
          <w:lang w:val="en-US" w:eastAsia="zh-CN"/>
        </w:rPr>
        <w:t>1.843</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公里、</w:t>
      </w:r>
      <w:r>
        <w:rPr>
          <w:rFonts w:cs="宋体" w:asciiTheme="minorEastAsia" w:hAnsiTheme="minorEastAsia" w:eastAsiaTheme="minorEastAsia"/>
          <w:sz w:val="24"/>
          <w:szCs w:val="24"/>
          <w:lang w:val="en-US" w:eastAsia="zh-CN"/>
        </w:rPr>
        <w:t>2.20</w:t>
      </w:r>
      <w:r>
        <w:rPr>
          <w:rFonts w:hint="eastAsia" w:cs="宋体" w:asciiTheme="minorEastAsia" w:hAnsiTheme="minorEastAsia" w:eastAsiaTheme="minorEastAsia"/>
          <w:sz w:val="24"/>
          <w:szCs w:val="24"/>
          <w:lang w:val="en-US" w:eastAsia="zh-CN"/>
        </w:rPr>
        <w:t>元</w:t>
      </w:r>
      <w:r>
        <w:rPr>
          <w:rFonts w:cs="宋体" w:asciiTheme="minorEastAsia" w:hAnsiTheme="minorEastAsia" w:eastAsiaTheme="minorEastAsia"/>
          <w:sz w:val="24"/>
          <w:szCs w:val="24"/>
          <w:lang w:val="en-US" w:eastAsia="zh-CN"/>
        </w:rPr>
        <w:t>/</w:t>
      </w:r>
      <w:r>
        <w:rPr>
          <w:rFonts w:hint="eastAsia" w:cs="宋体" w:asciiTheme="minorEastAsia" w:hAnsiTheme="minorEastAsia" w:eastAsiaTheme="minorEastAsia"/>
          <w:sz w:val="24"/>
          <w:szCs w:val="24"/>
          <w:lang w:val="en-US" w:eastAsia="zh-CN"/>
        </w:rPr>
        <w:t>公里。</w:t>
      </w:r>
    </w:p>
    <w:p>
      <w:pPr>
        <w:pStyle w:val="31"/>
        <w:spacing w:before="240" w:line="360" w:lineRule="auto"/>
        <w:ind w:left="72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苏锡常南部高速太湖隧道收费标准如下</w:t>
      </w:r>
      <w:r>
        <w:rPr>
          <w:rFonts w:cs="宋体" w:asciiTheme="minorEastAsia" w:hAnsiTheme="minorEastAsia" w:eastAsiaTheme="minorEastAsia"/>
          <w:lang w:eastAsia="zh-CN"/>
        </w:rPr>
        <w:t xml:space="preserve">: </w:t>
      </w:r>
    </w:p>
    <w:p>
      <w:pPr>
        <w:pStyle w:val="31"/>
        <w:spacing w:before="240" w:line="360" w:lineRule="auto"/>
        <w:ind w:left="1440" w:hanging="731"/>
        <w:jc w:val="both"/>
        <w:rPr>
          <w:rFonts w:cs="宋体" w:asciiTheme="minorEastAsia" w:hAnsiTheme="minorEastAsia" w:eastAsiaTheme="minorEastAsia"/>
          <w:lang w:eastAsia="zh-CN"/>
        </w:rPr>
      </w:pPr>
      <w:r>
        <w:rPr>
          <w:rFonts w:cs="宋体" w:asciiTheme="minorEastAsia" w:hAnsiTheme="minorEastAsia" w:eastAsiaTheme="minorEastAsia"/>
          <w:lang w:eastAsia="zh-CN"/>
        </w:rPr>
        <w:t>(1)</w:t>
      </w:r>
      <w:r>
        <w:rPr>
          <w:rFonts w:cs="宋体" w:asciiTheme="minorEastAsia" w:hAnsiTheme="minorEastAsia" w:eastAsiaTheme="minorEastAsia"/>
          <w:lang w:eastAsia="zh-CN"/>
        </w:rPr>
        <w:tab/>
      </w:r>
      <w:r>
        <w:rPr>
          <w:rFonts w:hint="eastAsia" w:cs="宋体" w:asciiTheme="minorEastAsia" w:hAnsiTheme="minorEastAsia" w:eastAsiaTheme="minorEastAsia"/>
          <w:lang w:eastAsia="zh-CN"/>
        </w:rPr>
        <w:t>一至四类客车分别为</w:t>
      </w:r>
      <w:r>
        <w:rPr>
          <w:rFonts w:cs="宋体" w:asciiTheme="minorEastAsia" w:hAnsiTheme="minorEastAsia" w:eastAsiaTheme="minorEastAsia"/>
          <w:lang w:eastAsia="zh-CN"/>
        </w:rPr>
        <w:t>45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60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90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90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w:t>
      </w:r>
    </w:p>
    <w:p>
      <w:pPr>
        <w:pStyle w:val="31"/>
        <w:spacing w:before="240" w:line="360" w:lineRule="auto"/>
        <w:ind w:left="1440" w:hanging="731"/>
        <w:jc w:val="both"/>
        <w:rPr>
          <w:rFonts w:cs="宋体" w:asciiTheme="minorEastAsia" w:hAnsiTheme="minorEastAsia" w:eastAsiaTheme="minorEastAsia"/>
          <w:lang w:eastAsia="zh-CN"/>
        </w:rPr>
      </w:pPr>
      <w:r>
        <w:rPr>
          <w:rFonts w:cs="宋体" w:asciiTheme="minorEastAsia" w:hAnsiTheme="minorEastAsia" w:eastAsiaTheme="minorEastAsia"/>
          <w:lang w:eastAsia="zh-CN"/>
        </w:rPr>
        <w:t>(2)</w:t>
      </w:r>
      <w:r>
        <w:rPr>
          <w:rFonts w:cs="宋体" w:asciiTheme="minorEastAsia" w:hAnsiTheme="minorEastAsia" w:eastAsiaTheme="minorEastAsia"/>
          <w:lang w:eastAsia="zh-CN"/>
        </w:rPr>
        <w:tab/>
      </w:r>
      <w:r>
        <w:rPr>
          <w:rFonts w:hint="eastAsia" w:cs="宋体" w:asciiTheme="minorEastAsia" w:hAnsiTheme="minorEastAsia" w:eastAsiaTheme="minorEastAsia"/>
          <w:lang w:eastAsia="zh-CN"/>
        </w:rPr>
        <w:t>货车通行费收费标准一至六类货车分别为</w:t>
      </w:r>
      <w:r>
        <w:rPr>
          <w:rFonts w:cs="宋体" w:asciiTheme="minorEastAsia" w:hAnsiTheme="minorEastAsia" w:eastAsiaTheme="minorEastAsia"/>
          <w:lang w:eastAsia="zh-CN"/>
        </w:rPr>
        <w:t>50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105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165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200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210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240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p>
    <w:p>
      <w:pPr>
        <w:pStyle w:val="31"/>
        <w:spacing w:before="240" w:line="360" w:lineRule="auto"/>
        <w:ind w:left="720"/>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邀贤山隧道收费标准如下</w:t>
      </w:r>
      <w:r>
        <w:rPr>
          <w:rFonts w:cs="宋体" w:asciiTheme="minorEastAsia" w:hAnsiTheme="minorEastAsia" w:eastAsiaTheme="minorEastAsia"/>
          <w:lang w:eastAsia="zh-CN"/>
        </w:rPr>
        <w:t>:</w:t>
      </w:r>
    </w:p>
    <w:p>
      <w:pPr>
        <w:pStyle w:val="31"/>
        <w:numPr>
          <w:ilvl w:val="0"/>
          <w:numId w:val="4"/>
        </w:numPr>
        <w:spacing w:before="240" w:line="360" w:lineRule="auto"/>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一至四类客车分别为</w:t>
      </w:r>
      <w:r>
        <w:rPr>
          <w:rFonts w:cs="宋体" w:asciiTheme="minorEastAsia" w:hAnsiTheme="minorEastAsia" w:eastAsiaTheme="minorEastAsia"/>
          <w:lang w:eastAsia="zh-CN"/>
        </w:rPr>
        <w:t>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10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10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p>
    <w:p>
      <w:pPr>
        <w:pStyle w:val="31"/>
        <w:numPr>
          <w:ilvl w:val="0"/>
          <w:numId w:val="4"/>
        </w:numPr>
        <w:spacing w:before="240" w:line="360" w:lineRule="auto"/>
        <w:jc w:val="both"/>
        <w:rPr>
          <w:rFonts w:cs="宋体" w:asciiTheme="minorEastAsia" w:hAnsiTheme="minorEastAsia" w:eastAsiaTheme="minorEastAsia"/>
          <w:lang w:eastAsia="zh-CN"/>
        </w:rPr>
      </w:pPr>
      <w:r>
        <w:rPr>
          <w:rFonts w:hint="eastAsia" w:cs="宋体" w:asciiTheme="minorEastAsia" w:hAnsiTheme="minorEastAsia" w:eastAsiaTheme="minorEastAsia"/>
          <w:lang w:eastAsia="zh-CN"/>
        </w:rPr>
        <w:t>货车通行费标准一至六类货车分别为</w:t>
      </w:r>
      <w:r>
        <w:rPr>
          <w:rFonts w:cs="宋体" w:asciiTheme="minorEastAsia" w:hAnsiTheme="minorEastAsia" w:eastAsiaTheme="minorEastAsia"/>
          <w:lang w:eastAsia="zh-CN"/>
        </w:rPr>
        <w:t>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10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20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25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25</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r>
        <w:rPr>
          <w:rFonts w:cs="宋体" w:asciiTheme="minorEastAsia" w:hAnsiTheme="minorEastAsia" w:eastAsiaTheme="minorEastAsia"/>
          <w:lang w:eastAsia="zh-CN"/>
        </w:rPr>
        <w:t>30</w:t>
      </w:r>
      <w:r>
        <w:rPr>
          <w:rFonts w:hint="eastAsia" w:cs="宋体" w:asciiTheme="minorEastAsia" w:hAnsiTheme="minorEastAsia" w:eastAsiaTheme="minorEastAsia"/>
          <w:lang w:eastAsia="zh-CN"/>
        </w:rPr>
        <w:t>元</w:t>
      </w:r>
      <w:r>
        <w:rPr>
          <w:rFonts w:cs="宋体" w:asciiTheme="minorEastAsia" w:hAnsiTheme="minorEastAsia" w:eastAsiaTheme="minorEastAsia"/>
          <w:lang w:eastAsia="zh-CN"/>
        </w:rPr>
        <w:t>/</w:t>
      </w:r>
      <w:r>
        <w:rPr>
          <w:rFonts w:hint="eastAsia" w:cs="宋体" w:asciiTheme="minorEastAsia" w:hAnsiTheme="minorEastAsia" w:eastAsiaTheme="minorEastAsia"/>
          <w:lang w:eastAsia="zh-CN"/>
        </w:rPr>
        <w:t>车次。</w:t>
      </w:r>
    </w:p>
    <w:p>
      <w:pPr>
        <w:pStyle w:val="31"/>
        <w:spacing w:before="240" w:line="360" w:lineRule="auto"/>
        <w:jc w:val="both"/>
        <w:rPr>
          <w:lang w:eastAsia="zh-TW"/>
        </w:rPr>
      </w:pPr>
      <w:r>
        <w:rPr>
          <w:lang w:eastAsia="zh-CN"/>
        </w:rPr>
        <w:tab/>
      </w:r>
      <w:r>
        <w:rPr>
          <w:rFonts w:hint="eastAsia" w:eastAsia="宋体"/>
          <w:lang w:eastAsia="zh-CN"/>
        </w:rPr>
        <w:t>苏锡常南部</w:t>
      </w:r>
      <w:r>
        <w:rPr>
          <w:rFonts w:hint="eastAsia" w:eastAsiaTheme="minorEastAsia"/>
          <w:lang w:eastAsia="zh-CN"/>
        </w:rPr>
        <w:t>高速</w:t>
      </w:r>
      <w:r>
        <w:rPr>
          <w:rFonts w:hint="eastAsia" w:eastAsia="宋体"/>
          <w:lang w:eastAsia="zh-CN"/>
        </w:rPr>
        <w:t>的历史交通</w:t>
      </w:r>
      <w:r>
        <w:rPr>
          <w:rFonts w:hint="eastAsia" w:eastAsiaTheme="minorEastAsia"/>
          <w:lang w:eastAsia="zh-CN"/>
        </w:rPr>
        <w:t>流</w:t>
      </w:r>
      <w:r>
        <w:rPr>
          <w:rFonts w:hint="eastAsia" w:eastAsia="宋体"/>
          <w:lang w:eastAsia="zh-CN"/>
        </w:rPr>
        <w:t>量和收入如下</w:t>
      </w:r>
      <w:r>
        <w:rPr>
          <w:rFonts w:hint="eastAsia" w:eastAsiaTheme="minorEastAsia"/>
          <w:lang w:eastAsia="zh-CN"/>
        </w:rPr>
        <w:t>：</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1701"/>
        <w:gridCol w:w="1676"/>
        <w:gridCol w:w="18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122"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p>
        </w:tc>
        <w:tc>
          <w:tcPr>
            <w:tcW w:w="1701"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 xml:space="preserve">2021 </w:t>
            </w:r>
            <w:r>
              <w:rPr>
                <w:rFonts w:hint="eastAsia" w:asciiTheme="minorEastAsia" w:hAnsiTheme="minorEastAsia" w:eastAsiaTheme="minorEastAsia"/>
                <w:kern w:val="2"/>
                <w:lang w:eastAsia="zh-CN"/>
              </w:rPr>
              <w:t>年</w:t>
            </w:r>
            <w:r>
              <w:rPr>
                <w:rFonts w:asciiTheme="minorEastAsia" w:hAnsiTheme="minorEastAsia" w:eastAsiaTheme="minorEastAsia"/>
                <w:kern w:val="2"/>
                <w:lang w:eastAsia="zh-CN"/>
              </w:rPr>
              <w:t>12</w:t>
            </w:r>
            <w:r>
              <w:rPr>
                <w:rFonts w:hint="eastAsia" w:asciiTheme="minorEastAsia" w:hAnsiTheme="minorEastAsia" w:eastAsiaTheme="minorEastAsia"/>
                <w:kern w:val="2"/>
                <w:lang w:eastAsia="zh-CN"/>
              </w:rPr>
              <w:t>月</w:t>
            </w:r>
            <w:r>
              <w:rPr>
                <w:rFonts w:asciiTheme="minorEastAsia" w:hAnsiTheme="minorEastAsia" w:eastAsiaTheme="minorEastAsia"/>
                <w:kern w:val="2"/>
                <w:lang w:eastAsia="zh-CN"/>
              </w:rPr>
              <w:t>31</w:t>
            </w:r>
            <w:r>
              <w:rPr>
                <w:rFonts w:hint="eastAsia" w:asciiTheme="minorEastAsia" w:hAnsiTheme="minorEastAsia" w:eastAsiaTheme="minorEastAsia"/>
                <w:kern w:val="2"/>
                <w:lang w:eastAsia="zh-CN"/>
              </w:rPr>
              <w:t>日（注）</w:t>
            </w:r>
          </w:p>
        </w:tc>
        <w:tc>
          <w:tcPr>
            <w:tcW w:w="1676"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2022</w:t>
            </w:r>
          </w:p>
        </w:tc>
        <w:tc>
          <w:tcPr>
            <w:tcW w:w="1833" w:type="dxa"/>
            <w:shd w:val="clear" w:color="auto" w:fill="auto"/>
            <w:vAlign w:val="center"/>
          </w:tcPr>
          <w:p>
            <w:pPr>
              <w:pStyle w:val="31"/>
              <w:spacing w:after="0" w:line="360" w:lineRule="auto"/>
              <w:ind w:right="480"/>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截至</w:t>
            </w:r>
            <w:r>
              <w:rPr>
                <w:rFonts w:asciiTheme="minorEastAsia" w:hAnsiTheme="minorEastAsia" w:eastAsiaTheme="minorEastAsia"/>
                <w:kern w:val="2"/>
                <w:lang w:eastAsia="zh-CN"/>
              </w:rPr>
              <w:t xml:space="preserve"> 2023 </w:t>
            </w:r>
            <w:r>
              <w:rPr>
                <w:rFonts w:hint="eastAsia" w:asciiTheme="minorEastAsia" w:hAnsiTheme="minorEastAsia" w:eastAsiaTheme="minorEastAsia"/>
                <w:kern w:val="2"/>
                <w:lang w:eastAsia="zh-CN"/>
              </w:rPr>
              <w:t>年</w:t>
            </w:r>
            <w:r>
              <w:rPr>
                <w:rFonts w:asciiTheme="minorEastAsia" w:hAnsiTheme="minorEastAsia" w:eastAsiaTheme="minorEastAsia"/>
                <w:kern w:val="2"/>
                <w:lang w:eastAsia="zh-CN"/>
              </w:rPr>
              <w:t xml:space="preserve"> 10 </w:t>
            </w:r>
            <w:r>
              <w:rPr>
                <w:rFonts w:hint="eastAsia" w:asciiTheme="minorEastAsia" w:hAnsiTheme="minorEastAsia" w:eastAsiaTheme="minorEastAsia"/>
                <w:kern w:val="2"/>
                <w:lang w:eastAsia="zh-CN"/>
              </w:rPr>
              <w:t>月</w:t>
            </w:r>
            <w:r>
              <w:rPr>
                <w:rFonts w:asciiTheme="minorEastAsia" w:hAnsiTheme="minorEastAsia" w:eastAsiaTheme="minorEastAsia"/>
                <w:kern w:val="2"/>
                <w:lang w:eastAsia="zh-CN"/>
              </w:rPr>
              <w:t xml:space="preserve">31 </w:t>
            </w:r>
            <w:r>
              <w:rPr>
                <w:rFonts w:hint="eastAsia" w:asciiTheme="minorEastAsia" w:hAnsiTheme="minorEastAsia" w:eastAsiaTheme="minorEastAsia"/>
                <w:kern w:val="2"/>
                <w:lang w:eastAsia="zh-CN"/>
              </w:rPr>
              <w:t>日的十个月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jc w:val="center"/>
        </w:trPr>
        <w:tc>
          <w:tcPr>
            <w:tcW w:w="2122"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客车交通流量</w:t>
            </w:r>
          </w:p>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w:t>
            </w:r>
            <w:r>
              <w:rPr>
                <w:rFonts w:hint="eastAsia" w:asciiTheme="minorEastAsia" w:hAnsiTheme="minorEastAsia" w:eastAsiaTheme="minorEastAsia"/>
                <w:kern w:val="2"/>
                <w:lang w:eastAsia="zh-CN"/>
              </w:rPr>
              <w:t>每日车辆数目</w:t>
            </w:r>
            <w:r>
              <w:rPr>
                <w:rFonts w:asciiTheme="minorEastAsia" w:hAnsiTheme="minorEastAsia" w:eastAsiaTheme="minorEastAsia"/>
                <w:kern w:val="2"/>
                <w:lang w:eastAsia="zh-CN"/>
              </w:rPr>
              <w:t>)</w:t>
            </w:r>
          </w:p>
        </w:tc>
        <w:tc>
          <w:tcPr>
            <w:tcW w:w="1701"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16792</w:t>
            </w:r>
          </w:p>
        </w:tc>
        <w:tc>
          <w:tcPr>
            <w:tcW w:w="1676"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13043</w:t>
            </w:r>
          </w:p>
        </w:tc>
        <w:tc>
          <w:tcPr>
            <w:tcW w:w="1833"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25956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2122"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货车交通流量</w:t>
            </w:r>
          </w:p>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w:t>
            </w:r>
            <w:r>
              <w:rPr>
                <w:rFonts w:hint="eastAsia" w:asciiTheme="minorEastAsia" w:hAnsiTheme="minorEastAsia" w:eastAsiaTheme="minorEastAsia"/>
                <w:kern w:val="2"/>
                <w:lang w:eastAsia="zh-CN"/>
              </w:rPr>
              <w:t>每日车辆数目</w:t>
            </w:r>
            <w:r>
              <w:rPr>
                <w:rFonts w:asciiTheme="minorEastAsia" w:hAnsiTheme="minorEastAsia" w:eastAsiaTheme="minorEastAsia"/>
                <w:kern w:val="2"/>
                <w:lang w:eastAsia="zh-CN"/>
              </w:rPr>
              <w:t>)</w:t>
            </w:r>
          </w:p>
        </w:tc>
        <w:tc>
          <w:tcPr>
            <w:tcW w:w="1701"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2008</w:t>
            </w:r>
          </w:p>
        </w:tc>
        <w:tc>
          <w:tcPr>
            <w:tcW w:w="1676"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2785</w:t>
            </w:r>
          </w:p>
        </w:tc>
        <w:tc>
          <w:tcPr>
            <w:tcW w:w="1833"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2850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2122"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hint="eastAsia" w:asciiTheme="minorEastAsia" w:hAnsiTheme="minorEastAsia" w:eastAsiaTheme="minorEastAsia"/>
                <w:kern w:val="2"/>
                <w:lang w:eastAsia="zh-CN"/>
              </w:rPr>
              <w:t>合计通行费收入</w:t>
            </w:r>
          </w:p>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w:t>
            </w:r>
            <w:r>
              <w:rPr>
                <w:rFonts w:hint="eastAsia" w:asciiTheme="minorEastAsia" w:hAnsiTheme="minorEastAsia" w:eastAsiaTheme="minorEastAsia"/>
                <w:kern w:val="2"/>
                <w:lang w:eastAsia="zh-CN"/>
              </w:rPr>
              <w:t>人民币千元</w:t>
            </w:r>
            <w:r>
              <w:rPr>
                <w:rFonts w:asciiTheme="minorEastAsia" w:hAnsiTheme="minorEastAsia" w:eastAsiaTheme="minorEastAsia"/>
                <w:kern w:val="2"/>
                <w:lang w:eastAsia="zh-CN"/>
              </w:rPr>
              <w:t>)</w:t>
            </w:r>
          </w:p>
        </w:tc>
        <w:tc>
          <w:tcPr>
            <w:tcW w:w="1701"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1,607.24</w:t>
            </w:r>
          </w:p>
        </w:tc>
        <w:tc>
          <w:tcPr>
            <w:tcW w:w="1676"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382,621.93</w:t>
            </w:r>
          </w:p>
        </w:tc>
        <w:tc>
          <w:tcPr>
            <w:tcW w:w="1833" w:type="dxa"/>
            <w:shd w:val="clear" w:color="auto" w:fill="auto"/>
            <w:vAlign w:val="center"/>
          </w:tcPr>
          <w:p>
            <w:pPr>
              <w:pStyle w:val="31"/>
              <w:spacing w:before="240" w:line="360" w:lineRule="auto"/>
              <w:jc w:val="center"/>
              <w:rPr>
                <w:rFonts w:asciiTheme="minorEastAsia" w:hAnsiTheme="minorEastAsia" w:eastAsiaTheme="minorEastAsia"/>
                <w:kern w:val="2"/>
                <w:lang w:eastAsia="zh-CN"/>
              </w:rPr>
            </w:pPr>
            <w:r>
              <w:rPr>
                <w:rFonts w:asciiTheme="minorEastAsia" w:hAnsiTheme="minorEastAsia" w:eastAsiaTheme="minorEastAsia"/>
                <w:kern w:val="2"/>
                <w:lang w:eastAsia="zh-CN"/>
              </w:rPr>
              <w:t>494,766.19</w:t>
            </w:r>
          </w:p>
        </w:tc>
      </w:tr>
    </w:tbl>
    <w:p>
      <w:pPr>
        <w:tabs>
          <w:tab w:val="left" w:pos="1780"/>
        </w:tabs>
        <w:spacing w:line="360" w:lineRule="auto"/>
        <w:rPr>
          <w:rFonts w:asciiTheme="minorEastAsia" w:hAnsiTheme="minorEastAsia" w:eastAsiaTheme="minorEastAsia"/>
          <w:sz w:val="24"/>
          <w:szCs w:val="24"/>
          <w:lang w:eastAsia="zh-TW"/>
        </w:rPr>
      </w:pPr>
      <w:r>
        <w:rPr>
          <w:rFonts w:hint="eastAsia" w:asciiTheme="minorEastAsia" w:hAnsiTheme="minorEastAsia" w:eastAsiaTheme="minorEastAsia"/>
          <w:sz w:val="24"/>
          <w:szCs w:val="24"/>
          <w:lang w:eastAsia="zh-CN"/>
        </w:rPr>
        <w:t>注：苏锡常南部高速于</w:t>
      </w:r>
      <w:r>
        <w:rPr>
          <w:rFonts w:asciiTheme="minorEastAsia" w:hAnsiTheme="minorEastAsia" w:eastAsiaTheme="minorEastAsia"/>
          <w:sz w:val="24"/>
          <w:szCs w:val="24"/>
          <w:lang w:eastAsia="zh-TW"/>
        </w:rPr>
        <w:t xml:space="preserve">2021 </w:t>
      </w:r>
      <w:r>
        <w:rPr>
          <w:rFonts w:hint="eastAsia" w:asciiTheme="minorEastAsia" w:hAnsiTheme="minorEastAsia" w:eastAsiaTheme="minorEastAsia"/>
          <w:sz w:val="24"/>
          <w:szCs w:val="24"/>
          <w:lang w:eastAsia="zh-CN"/>
        </w:rPr>
        <w:t>年</w:t>
      </w:r>
      <w:r>
        <w:rPr>
          <w:rFonts w:asciiTheme="minorEastAsia" w:hAnsiTheme="minorEastAsia" w:eastAsiaTheme="minorEastAsia"/>
          <w:sz w:val="24"/>
          <w:szCs w:val="24"/>
          <w:lang w:eastAsia="zh-TW"/>
        </w:rPr>
        <w:t>12</w:t>
      </w:r>
      <w:r>
        <w:rPr>
          <w:rFonts w:hint="eastAsia" w:asciiTheme="minorEastAsia" w:hAnsiTheme="minorEastAsia" w:eastAsiaTheme="minorEastAsia"/>
          <w:sz w:val="24"/>
          <w:szCs w:val="24"/>
          <w:lang w:eastAsia="zh-CN"/>
        </w:rPr>
        <w:t>月</w:t>
      </w:r>
      <w:r>
        <w:rPr>
          <w:rFonts w:asciiTheme="minorEastAsia" w:hAnsiTheme="minorEastAsia" w:eastAsiaTheme="minorEastAsia"/>
          <w:sz w:val="24"/>
          <w:szCs w:val="24"/>
          <w:lang w:eastAsia="zh-TW"/>
        </w:rPr>
        <w:t>30</w:t>
      </w:r>
      <w:r>
        <w:rPr>
          <w:rFonts w:hint="eastAsia" w:asciiTheme="minorEastAsia" w:hAnsiTheme="minorEastAsia" w:eastAsiaTheme="minorEastAsia"/>
          <w:sz w:val="24"/>
          <w:szCs w:val="24"/>
          <w:lang w:eastAsia="zh-CN"/>
        </w:rPr>
        <w:t>日正式开通</w:t>
      </w:r>
    </w:p>
    <w:p>
      <w:pPr>
        <w:pStyle w:val="4"/>
        <w:rPr>
          <w:shd w:val="clear" w:color="auto" w:fill="FFFFFF"/>
        </w:rPr>
      </w:pPr>
      <w:r>
        <w:rPr>
          <w:rFonts w:hint="eastAsia"/>
          <w:shd w:val="clear" w:color="auto" w:fill="FFFFFF"/>
        </w:rPr>
        <w:t>（三）交易标的的主要财务指标</w:t>
      </w:r>
    </w:p>
    <w:p>
      <w:pPr>
        <w:pStyle w:val="31"/>
        <w:spacing w:before="240" w:line="360" w:lineRule="auto"/>
        <w:ind w:firstLine="480" w:firstLineChars="200"/>
        <w:jc w:val="both"/>
        <w:rPr>
          <w:rFonts w:cs="宋体" w:asciiTheme="minorEastAsia" w:hAnsiTheme="minorEastAsia" w:eastAsiaTheme="minorEastAsia"/>
          <w:shd w:val="clear" w:color="auto" w:fill="FFFFFF"/>
          <w:lang w:eastAsia="zh-CN"/>
        </w:rPr>
      </w:pPr>
      <w:r>
        <w:rPr>
          <w:rFonts w:hint="eastAsia" w:cs="宋体" w:asciiTheme="minorEastAsia" w:hAnsiTheme="minorEastAsia" w:eastAsiaTheme="minorEastAsia"/>
          <w:shd w:val="clear" w:color="auto" w:fill="FFFFFF"/>
          <w:lang w:eastAsia="zh-CN"/>
        </w:rPr>
        <w:t>苏锡常南部高速公司近两年主要财务指标如下：</w:t>
      </w:r>
    </w:p>
    <w:p>
      <w:pPr>
        <w:pStyle w:val="31"/>
        <w:spacing w:before="240" w:after="0" w:line="360" w:lineRule="auto"/>
        <w:ind w:left="1140"/>
        <w:jc w:val="right"/>
        <w:rPr>
          <w:rFonts w:cs="宋体" w:asciiTheme="minorEastAsia" w:hAnsiTheme="minorEastAsia" w:eastAsiaTheme="minorEastAsia"/>
          <w:shd w:val="clear" w:color="auto" w:fill="FFFFFF"/>
          <w:lang w:eastAsia="zh-CN"/>
        </w:rPr>
      </w:pPr>
      <w:r>
        <w:rPr>
          <w:rFonts w:hint="eastAsia" w:cs="宋体" w:asciiTheme="minorEastAsia" w:hAnsiTheme="minorEastAsia" w:eastAsiaTheme="minorEastAsia"/>
          <w:shd w:val="clear" w:color="auto" w:fill="FFFFFF"/>
          <w:lang w:eastAsia="zh-CN"/>
        </w:rPr>
        <w:t>（人民币</w:t>
      </w:r>
      <w:r>
        <w:rPr>
          <w:rFonts w:cs="宋体" w:asciiTheme="minorEastAsia" w:hAnsiTheme="minorEastAsia" w:eastAsiaTheme="minorEastAsia"/>
          <w:shd w:val="clear" w:color="auto" w:fill="FFFFFF"/>
          <w:lang w:eastAsia="zh-CN"/>
        </w:rPr>
        <w:t xml:space="preserve">  </w:t>
      </w:r>
      <w:r>
        <w:rPr>
          <w:rFonts w:hint="eastAsia" w:cs="宋体" w:asciiTheme="minorEastAsia" w:hAnsiTheme="minorEastAsia" w:eastAsiaTheme="minorEastAsia"/>
          <w:shd w:val="clear" w:color="auto" w:fill="FFFFFF"/>
          <w:lang w:eastAsia="zh-CN"/>
        </w:rPr>
        <w:t>元</w:t>
      </w:r>
      <w:r>
        <w:rPr>
          <w:rFonts w:cs="宋体" w:asciiTheme="minorEastAsia" w:hAnsiTheme="minorEastAsia" w:eastAsiaTheme="minorEastAsia"/>
          <w:shd w:val="clear" w:color="auto" w:fill="FFFFFF"/>
          <w:lang w:eastAsia="zh-CN"/>
        </w:rPr>
        <w:t xml:space="preserve"> </w:t>
      </w:r>
      <w:r>
        <w:rPr>
          <w:rFonts w:hint="eastAsia" w:cs="宋体" w:asciiTheme="minorEastAsia" w:hAnsiTheme="minorEastAsia" w:eastAsiaTheme="minorEastAsia"/>
          <w:shd w:val="clear" w:color="auto" w:fill="FFFFFF"/>
          <w:lang w:eastAsia="zh-CN"/>
        </w:rPr>
        <w:t>）</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970"/>
        <w:gridCol w:w="2394"/>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267" w:type="dxa"/>
            <w:vMerge w:val="restart"/>
            <w:vAlign w:val="center"/>
          </w:tcPr>
          <w:p>
            <w:pPr>
              <w:pStyle w:val="31"/>
              <w:spacing w:before="240" w:line="360" w:lineRule="auto"/>
              <w:jc w:val="center"/>
              <w:rPr>
                <w:rFonts w:cs="宋体" w:asciiTheme="minorEastAsia" w:hAnsiTheme="minorEastAsia" w:eastAsiaTheme="minorEastAsia"/>
                <w:kern w:val="0"/>
                <w:shd w:val="clear" w:color="auto" w:fill="FFFFFF"/>
                <w:lang w:eastAsia="zh-CN"/>
              </w:rPr>
            </w:pPr>
          </w:p>
        </w:tc>
        <w:tc>
          <w:tcPr>
            <w:tcW w:w="4364" w:type="dxa"/>
            <w:gridSpan w:val="2"/>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截至</w:t>
            </w:r>
            <w:r>
              <w:rPr>
                <w:rFonts w:cs="宋体" w:asciiTheme="minorEastAsia" w:hAnsiTheme="minorEastAsia" w:eastAsiaTheme="minorEastAsia"/>
                <w:kern w:val="0"/>
                <w:shd w:val="clear" w:color="auto" w:fill="FFFFFF"/>
                <w:lang w:eastAsia="zh-CN"/>
              </w:rPr>
              <w:t>12</w:t>
            </w:r>
            <w:r>
              <w:rPr>
                <w:rFonts w:hint="eastAsia" w:cs="宋体" w:asciiTheme="minorEastAsia" w:hAnsiTheme="minorEastAsia" w:eastAsiaTheme="minorEastAsia"/>
                <w:kern w:val="0"/>
                <w:shd w:val="clear" w:color="auto" w:fill="FFFFFF"/>
                <w:lang w:eastAsia="zh-CN"/>
              </w:rPr>
              <w:t>月</w:t>
            </w:r>
            <w:r>
              <w:rPr>
                <w:rFonts w:cs="宋体" w:asciiTheme="minorEastAsia" w:hAnsiTheme="minorEastAsia" w:eastAsiaTheme="minorEastAsia"/>
                <w:kern w:val="0"/>
                <w:shd w:val="clear" w:color="auto" w:fill="FFFFFF"/>
                <w:lang w:eastAsia="zh-CN"/>
              </w:rPr>
              <w:t>31</w:t>
            </w:r>
            <w:r>
              <w:rPr>
                <w:rFonts w:hint="eastAsia" w:cs="宋体" w:asciiTheme="minorEastAsia" w:hAnsiTheme="minorEastAsia" w:eastAsiaTheme="minorEastAsia"/>
                <w:kern w:val="0"/>
                <w:shd w:val="clear" w:color="auto" w:fill="FFFFFF"/>
                <w:lang w:eastAsia="zh-CN"/>
              </w:rPr>
              <w:t>日的财政年度</w:t>
            </w:r>
          </w:p>
        </w:tc>
        <w:tc>
          <w:tcPr>
            <w:tcW w:w="2393" w:type="dxa"/>
            <w:vMerge w:val="restart"/>
            <w:vAlign w:val="center"/>
          </w:tcPr>
          <w:p>
            <w:pPr>
              <w:pStyle w:val="31"/>
              <w:spacing w:after="0" w:line="360" w:lineRule="auto"/>
              <w:ind w:left="-208"/>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截至</w:t>
            </w:r>
            <w:r>
              <w:rPr>
                <w:rFonts w:cs="宋体" w:asciiTheme="minorEastAsia" w:hAnsiTheme="minorEastAsia" w:eastAsiaTheme="minorEastAsia"/>
                <w:kern w:val="0"/>
                <w:shd w:val="clear" w:color="auto" w:fill="FFFFFF"/>
                <w:lang w:eastAsia="zh-CN"/>
              </w:rPr>
              <w:t>2023</w:t>
            </w:r>
            <w:r>
              <w:rPr>
                <w:rFonts w:hint="eastAsia" w:cs="宋体" w:asciiTheme="minorEastAsia" w:hAnsiTheme="minorEastAsia" w:eastAsiaTheme="minorEastAsia"/>
                <w:kern w:val="0"/>
                <w:shd w:val="clear" w:color="auto" w:fill="FFFFFF"/>
                <w:lang w:eastAsia="zh-CN"/>
              </w:rPr>
              <w:t>年</w:t>
            </w:r>
            <w:r>
              <w:rPr>
                <w:rFonts w:cs="宋体" w:asciiTheme="minorEastAsia" w:hAnsiTheme="minorEastAsia" w:eastAsiaTheme="minorEastAsia"/>
                <w:kern w:val="0"/>
                <w:shd w:val="clear" w:color="auto" w:fill="FFFFFF"/>
                <w:lang w:eastAsia="zh-CN"/>
              </w:rPr>
              <w:t>10</w:t>
            </w:r>
            <w:r>
              <w:rPr>
                <w:rFonts w:hint="eastAsia" w:cs="宋体" w:asciiTheme="minorEastAsia" w:hAnsiTheme="minorEastAsia" w:eastAsiaTheme="minorEastAsia"/>
                <w:kern w:val="0"/>
                <w:shd w:val="clear" w:color="auto" w:fill="FFFFFF"/>
                <w:lang w:eastAsia="zh-CN"/>
              </w:rPr>
              <w:t>月</w:t>
            </w:r>
            <w:r>
              <w:rPr>
                <w:rFonts w:cs="宋体" w:asciiTheme="minorEastAsia" w:hAnsiTheme="minorEastAsia" w:eastAsiaTheme="minorEastAsia"/>
                <w:kern w:val="0"/>
                <w:shd w:val="clear" w:color="auto" w:fill="FFFFFF"/>
                <w:lang w:eastAsia="zh-CN"/>
              </w:rPr>
              <w:t>31</w:t>
            </w:r>
            <w:r>
              <w:rPr>
                <w:rFonts w:hint="eastAsia" w:cs="宋体" w:asciiTheme="minorEastAsia" w:hAnsiTheme="minorEastAsia" w:eastAsiaTheme="minorEastAsia"/>
                <w:kern w:val="0"/>
                <w:shd w:val="clear" w:color="auto" w:fill="FFFFFF"/>
                <w:lang w:eastAsia="zh-CN"/>
              </w:rPr>
              <w:t>日的十个月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1267" w:type="dxa"/>
            <w:vMerge w:val="continue"/>
            <w:vAlign w:val="center"/>
          </w:tcPr>
          <w:p>
            <w:pPr>
              <w:pStyle w:val="31"/>
              <w:spacing w:before="240" w:line="360" w:lineRule="auto"/>
              <w:jc w:val="center"/>
              <w:rPr>
                <w:rFonts w:cs="宋体" w:asciiTheme="minorEastAsia" w:hAnsiTheme="minorEastAsia" w:eastAsiaTheme="minorEastAsia"/>
                <w:kern w:val="0"/>
                <w:shd w:val="clear" w:color="auto" w:fill="FFFFFF"/>
                <w:lang w:eastAsia="zh-CN"/>
              </w:rPr>
            </w:pPr>
          </w:p>
        </w:tc>
        <w:tc>
          <w:tcPr>
            <w:tcW w:w="1970"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2021</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2022</w:t>
            </w:r>
          </w:p>
        </w:tc>
        <w:tc>
          <w:tcPr>
            <w:tcW w:w="2393" w:type="dxa"/>
            <w:vMerge w:val="continue"/>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营业收入（注</w:t>
            </w:r>
            <w:r>
              <w:rPr>
                <w:rFonts w:cs="宋体" w:asciiTheme="minorEastAsia" w:hAnsiTheme="minorEastAsia" w:eastAsiaTheme="minorEastAsia"/>
                <w:kern w:val="0"/>
                <w:shd w:val="clear" w:color="auto" w:fill="FFFFFF"/>
                <w:lang w:eastAsia="zh-CN"/>
              </w:rPr>
              <w:t>1</w:t>
            </w:r>
            <w:r>
              <w:rPr>
                <w:rFonts w:hint="eastAsia" w:cs="宋体" w:asciiTheme="minorEastAsia" w:hAnsiTheme="minorEastAsia" w:eastAsiaTheme="minorEastAsia"/>
                <w:kern w:val="0"/>
                <w:shd w:val="clear" w:color="auto" w:fill="FFFFFF"/>
                <w:lang w:eastAsia="zh-CN"/>
              </w:rPr>
              <w:t>）</w:t>
            </w:r>
          </w:p>
        </w:tc>
        <w:tc>
          <w:tcPr>
            <w:tcW w:w="1970"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1,608,508.66</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383,429,296.69</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497,676,436.23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营业成本</w:t>
            </w:r>
          </w:p>
        </w:tc>
        <w:tc>
          <w:tcPr>
            <w:tcW w:w="1970" w:type="dxa"/>
            <w:tcBorders>
              <w:top w:val="nil"/>
              <w:left w:val="nil"/>
              <w:bottom w:val="single" w:color="auto" w:sz="4" w:space="0"/>
              <w:right w:val="single" w:color="auto" w:sz="4" w:space="0"/>
            </w:tcBorders>
            <w:shd w:val="clear" w:color="auto" w:fill="auto"/>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1,505,770.87</w:t>
            </w:r>
          </w:p>
        </w:tc>
        <w:tc>
          <w:tcPr>
            <w:tcW w:w="2393" w:type="dxa"/>
            <w:tcBorders>
              <w:top w:val="nil"/>
              <w:left w:val="nil"/>
              <w:bottom w:val="single" w:color="auto" w:sz="4" w:space="0"/>
              <w:right w:val="single" w:color="auto" w:sz="4" w:space="0"/>
            </w:tcBorders>
            <w:shd w:val="clear" w:color="auto" w:fill="auto"/>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413,006,129.45</w:t>
            </w:r>
          </w:p>
        </w:tc>
        <w:tc>
          <w:tcPr>
            <w:tcW w:w="2393" w:type="dxa"/>
            <w:tcBorders>
              <w:top w:val="nil"/>
              <w:left w:val="nil"/>
              <w:bottom w:val="single" w:color="auto" w:sz="4" w:space="0"/>
              <w:right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443,737,354.81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eastAsiaTheme="minorEastAsia"/>
                <w:spacing w:val="-8"/>
                <w:kern w:val="2"/>
                <w:lang w:eastAsia="zh-CN"/>
              </w:rPr>
              <w:t>税前利润</w:t>
            </w:r>
            <w:r>
              <w:rPr>
                <w:rFonts w:hint="eastAsia" w:cs="宋体" w:asciiTheme="minorEastAsia" w:hAnsiTheme="minorEastAsia" w:eastAsiaTheme="minorEastAsia"/>
                <w:kern w:val="0"/>
                <w:shd w:val="clear" w:color="auto" w:fill="FFFFFF"/>
                <w:lang w:eastAsia="zh-CN"/>
              </w:rPr>
              <w:t>（注</w:t>
            </w:r>
            <w:r>
              <w:rPr>
                <w:rFonts w:cs="宋体" w:asciiTheme="minorEastAsia" w:hAnsiTheme="minorEastAsia" w:eastAsiaTheme="minorEastAsia"/>
                <w:kern w:val="0"/>
                <w:shd w:val="clear" w:color="auto" w:fill="FFFFFF"/>
                <w:lang w:eastAsia="zh-CN"/>
              </w:rPr>
              <w:t>2</w:t>
            </w:r>
            <w:r>
              <w:rPr>
                <w:rFonts w:hint="eastAsia" w:cs="宋体" w:asciiTheme="minorEastAsia" w:hAnsiTheme="minorEastAsia" w:eastAsiaTheme="minorEastAsia"/>
                <w:kern w:val="0"/>
                <w:shd w:val="clear" w:color="auto" w:fill="FFFFFF"/>
                <w:lang w:eastAsia="zh-CN"/>
              </w:rPr>
              <w:t>）</w:t>
            </w:r>
          </w:p>
        </w:tc>
        <w:tc>
          <w:tcPr>
            <w:tcW w:w="1970"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(2,040,806.13)</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(320,637,941.31)</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(170,389,285.85)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eastAsiaTheme="minorEastAsia"/>
                <w:spacing w:val="-8"/>
                <w:kern w:val="2"/>
                <w:lang w:eastAsia="zh-CN"/>
              </w:rPr>
              <w:t>综合利润</w:t>
            </w:r>
          </w:p>
        </w:tc>
        <w:tc>
          <w:tcPr>
            <w:tcW w:w="1970"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(2,040,806.13)</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(320,637,941.31)</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(170,389,285.85)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267" w:type="dxa"/>
            <w:vAlign w:val="center"/>
          </w:tcPr>
          <w:p>
            <w:pPr>
              <w:pStyle w:val="31"/>
              <w:spacing w:before="240" w:line="360" w:lineRule="auto"/>
              <w:jc w:val="center"/>
              <w:rPr>
                <w:rFonts w:cs="宋体" w:asciiTheme="minorEastAsia" w:hAnsiTheme="minorEastAsia" w:eastAsiaTheme="minorEastAsia"/>
                <w:kern w:val="0"/>
                <w:shd w:val="clear" w:color="auto" w:fill="FFFFFF"/>
                <w:lang w:eastAsia="zh-CN"/>
              </w:rPr>
            </w:pPr>
          </w:p>
        </w:tc>
        <w:tc>
          <w:tcPr>
            <w:tcW w:w="1970"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2021</w:t>
            </w:r>
            <w:r>
              <w:rPr>
                <w:rFonts w:hint="eastAsia" w:cs="宋体" w:asciiTheme="minorEastAsia" w:hAnsiTheme="minorEastAsia" w:eastAsiaTheme="minorEastAsia"/>
                <w:kern w:val="0"/>
                <w:shd w:val="clear" w:color="auto" w:fill="FFFFFF"/>
                <w:lang w:eastAsia="zh-CN"/>
              </w:rPr>
              <w:t>年</w:t>
            </w:r>
          </w:p>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12</w:t>
            </w:r>
            <w:r>
              <w:rPr>
                <w:rFonts w:hint="eastAsia" w:cs="宋体" w:asciiTheme="minorEastAsia" w:hAnsiTheme="minorEastAsia" w:eastAsiaTheme="minorEastAsia"/>
                <w:kern w:val="0"/>
                <w:shd w:val="clear" w:color="auto" w:fill="FFFFFF"/>
                <w:lang w:eastAsia="zh-CN"/>
              </w:rPr>
              <w:t>月</w:t>
            </w:r>
            <w:r>
              <w:rPr>
                <w:rFonts w:cs="宋体" w:asciiTheme="minorEastAsia" w:hAnsiTheme="minorEastAsia" w:eastAsiaTheme="minorEastAsia"/>
                <w:kern w:val="0"/>
                <w:shd w:val="clear" w:color="auto" w:fill="FFFFFF"/>
                <w:lang w:eastAsia="zh-CN"/>
              </w:rPr>
              <w:t>31</w:t>
            </w:r>
            <w:r>
              <w:rPr>
                <w:rFonts w:hint="eastAsia" w:cs="宋体" w:asciiTheme="minorEastAsia" w:hAnsiTheme="minorEastAsia" w:eastAsiaTheme="minorEastAsia"/>
                <w:kern w:val="0"/>
                <w:shd w:val="clear" w:color="auto" w:fill="FFFFFF"/>
                <w:lang w:eastAsia="zh-CN"/>
              </w:rPr>
              <w:t>日</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2022</w:t>
            </w:r>
            <w:r>
              <w:rPr>
                <w:rFonts w:hint="eastAsia" w:cs="宋体" w:asciiTheme="minorEastAsia" w:hAnsiTheme="minorEastAsia" w:eastAsiaTheme="minorEastAsia"/>
                <w:kern w:val="0"/>
                <w:shd w:val="clear" w:color="auto" w:fill="FFFFFF"/>
                <w:lang w:eastAsia="zh-CN"/>
              </w:rPr>
              <w:t>年</w:t>
            </w:r>
          </w:p>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12</w:t>
            </w:r>
            <w:r>
              <w:rPr>
                <w:rFonts w:hint="eastAsia" w:cs="宋体" w:asciiTheme="minorEastAsia" w:hAnsiTheme="minorEastAsia" w:eastAsiaTheme="minorEastAsia"/>
                <w:kern w:val="0"/>
                <w:shd w:val="clear" w:color="auto" w:fill="FFFFFF"/>
                <w:lang w:eastAsia="zh-CN"/>
              </w:rPr>
              <w:t>月</w:t>
            </w:r>
            <w:r>
              <w:rPr>
                <w:rFonts w:cs="宋体" w:asciiTheme="minorEastAsia" w:hAnsiTheme="minorEastAsia" w:eastAsiaTheme="minorEastAsia"/>
                <w:kern w:val="0"/>
                <w:shd w:val="clear" w:color="auto" w:fill="FFFFFF"/>
                <w:lang w:eastAsia="zh-CN"/>
              </w:rPr>
              <w:t>31</w:t>
            </w:r>
            <w:r>
              <w:rPr>
                <w:rFonts w:hint="eastAsia" w:cs="宋体" w:asciiTheme="minorEastAsia" w:hAnsiTheme="minorEastAsia" w:eastAsiaTheme="minorEastAsia"/>
                <w:kern w:val="0"/>
                <w:shd w:val="clear" w:color="auto" w:fill="FFFFFF"/>
                <w:lang w:eastAsia="zh-CN"/>
              </w:rPr>
              <w:t>日</w:t>
            </w:r>
          </w:p>
        </w:tc>
        <w:tc>
          <w:tcPr>
            <w:tcW w:w="2393"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2023</w:t>
            </w:r>
            <w:r>
              <w:rPr>
                <w:rFonts w:hint="eastAsia" w:cs="宋体" w:asciiTheme="minorEastAsia" w:hAnsiTheme="minorEastAsia" w:eastAsiaTheme="minorEastAsia"/>
                <w:kern w:val="0"/>
                <w:shd w:val="clear" w:color="auto" w:fill="FFFFFF"/>
                <w:lang w:eastAsia="zh-CN"/>
              </w:rPr>
              <w:t>年</w:t>
            </w:r>
          </w:p>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10</w:t>
            </w:r>
            <w:r>
              <w:rPr>
                <w:rFonts w:hint="eastAsia" w:cs="宋体" w:asciiTheme="minorEastAsia" w:hAnsiTheme="minorEastAsia" w:eastAsiaTheme="minorEastAsia"/>
                <w:kern w:val="0"/>
                <w:shd w:val="clear" w:color="auto" w:fill="FFFFFF"/>
                <w:lang w:eastAsia="zh-CN"/>
              </w:rPr>
              <w:t>月</w:t>
            </w:r>
            <w:r>
              <w:rPr>
                <w:rFonts w:cs="宋体" w:asciiTheme="minorEastAsia" w:hAnsiTheme="minorEastAsia" w:eastAsiaTheme="minorEastAsia"/>
                <w:kern w:val="0"/>
                <w:shd w:val="clear" w:color="auto" w:fill="FFFFFF"/>
                <w:lang w:eastAsia="zh-CN"/>
              </w:rPr>
              <w:t>31</w:t>
            </w:r>
            <w:r>
              <w:rPr>
                <w:rFonts w:hint="eastAsia" w:cs="宋体" w:asciiTheme="minorEastAsia" w:hAnsiTheme="minorEastAsia" w:eastAsiaTheme="minorEastAsia"/>
                <w:kern w:val="0"/>
                <w:shd w:val="clear" w:color="auto" w:fill="FFFFFF"/>
                <w:lang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总资产</w:t>
            </w:r>
          </w:p>
        </w:tc>
        <w:tc>
          <w:tcPr>
            <w:tcW w:w="1970" w:type="dxa"/>
            <w:tcBorders>
              <w:bottom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15,979,016,253.37</w:t>
            </w:r>
          </w:p>
        </w:tc>
        <w:tc>
          <w:tcPr>
            <w:tcW w:w="2393" w:type="dxa"/>
            <w:tcBorders>
              <w:bottom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15,440,257,154.89</w:t>
            </w:r>
          </w:p>
        </w:tc>
        <w:tc>
          <w:tcPr>
            <w:tcW w:w="2393" w:type="dxa"/>
            <w:tcBorders>
              <w:bottom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14,532,508,003.16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负债总额</w:t>
            </w:r>
          </w:p>
        </w:tc>
        <w:tc>
          <w:tcPr>
            <w:tcW w:w="1970" w:type="dxa"/>
            <w:tcBorders>
              <w:top w:val="single" w:color="auto" w:sz="4" w:space="0"/>
              <w:left w:val="nil"/>
              <w:bottom w:val="single" w:color="auto" w:sz="4" w:space="0"/>
              <w:right w:val="single" w:color="auto" w:sz="4" w:space="0"/>
            </w:tcBorders>
            <w:shd w:val="clear" w:color="auto" w:fill="auto"/>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(8,916,503,865.58)</w:t>
            </w:r>
          </w:p>
        </w:tc>
        <w:tc>
          <w:tcPr>
            <w:tcW w:w="239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(8,298,363,803.40)</w:t>
            </w:r>
          </w:p>
        </w:tc>
        <w:tc>
          <w:tcPr>
            <w:tcW w:w="239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31"/>
              <w:spacing w:after="0" w:line="360" w:lineRule="auto"/>
              <w:ind w:left="-66"/>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(7,069,474,937.52)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1267" w:type="dxa"/>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hint="eastAsia" w:cs="宋体" w:asciiTheme="minorEastAsia" w:hAnsiTheme="minorEastAsia" w:eastAsiaTheme="minorEastAsia"/>
                <w:kern w:val="0"/>
                <w:shd w:val="clear" w:color="auto" w:fill="FFFFFF"/>
                <w:lang w:eastAsia="zh-CN"/>
              </w:rPr>
              <w:t>净资产（注</w:t>
            </w:r>
            <w:r>
              <w:rPr>
                <w:rFonts w:cs="宋体" w:asciiTheme="minorEastAsia" w:hAnsiTheme="minorEastAsia" w:eastAsiaTheme="minorEastAsia"/>
                <w:kern w:val="0"/>
                <w:shd w:val="clear" w:color="auto" w:fill="FFFFFF"/>
                <w:lang w:eastAsia="zh-CN"/>
              </w:rPr>
              <w:t>3</w:t>
            </w:r>
            <w:r>
              <w:rPr>
                <w:rFonts w:hint="eastAsia" w:cs="宋体" w:asciiTheme="minorEastAsia" w:hAnsiTheme="minorEastAsia" w:eastAsiaTheme="minorEastAsia"/>
                <w:kern w:val="0"/>
                <w:shd w:val="clear" w:color="auto" w:fill="FFFFFF"/>
                <w:lang w:eastAsia="zh-CN"/>
              </w:rPr>
              <w:t>）</w:t>
            </w:r>
          </w:p>
        </w:tc>
        <w:tc>
          <w:tcPr>
            <w:tcW w:w="1970" w:type="dxa"/>
            <w:tcBorders>
              <w:top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7,062,512,387.79</w:t>
            </w:r>
          </w:p>
        </w:tc>
        <w:tc>
          <w:tcPr>
            <w:tcW w:w="2393" w:type="dxa"/>
            <w:tcBorders>
              <w:top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7,141,893,351.49</w:t>
            </w:r>
          </w:p>
          <w:p>
            <w:pPr>
              <w:pStyle w:val="31"/>
              <w:spacing w:after="0" w:line="360" w:lineRule="auto"/>
              <w:jc w:val="center"/>
              <w:rPr>
                <w:rFonts w:cs="宋体" w:asciiTheme="minorEastAsia" w:hAnsiTheme="minorEastAsia" w:eastAsiaTheme="minorEastAsia"/>
                <w:kern w:val="0"/>
                <w:shd w:val="clear" w:color="auto" w:fill="FFFFFF"/>
                <w:lang w:eastAsia="zh-CN"/>
              </w:rPr>
            </w:pPr>
          </w:p>
        </w:tc>
        <w:tc>
          <w:tcPr>
            <w:tcW w:w="2393" w:type="dxa"/>
            <w:tcBorders>
              <w:top w:val="single" w:color="auto" w:sz="4" w:space="0"/>
            </w:tcBorders>
            <w:vAlign w:val="center"/>
          </w:tcPr>
          <w:p>
            <w:pPr>
              <w:pStyle w:val="31"/>
              <w:spacing w:after="0" w:line="360" w:lineRule="auto"/>
              <w:jc w:val="center"/>
              <w:rPr>
                <w:rFonts w:cs="宋体" w:asciiTheme="minorEastAsia" w:hAnsiTheme="minorEastAsia" w:eastAsiaTheme="minorEastAsia"/>
                <w:kern w:val="0"/>
                <w:shd w:val="clear" w:color="auto" w:fill="FFFFFF"/>
                <w:lang w:eastAsia="zh-CN"/>
              </w:rPr>
            </w:pPr>
            <w:r>
              <w:rPr>
                <w:rFonts w:cs="宋体" w:asciiTheme="minorEastAsia" w:hAnsiTheme="minorEastAsia" w:eastAsiaTheme="minorEastAsia"/>
                <w:kern w:val="0"/>
                <w:shd w:val="clear" w:color="auto" w:fill="FFFFFF"/>
                <w:lang w:eastAsia="zh-CN"/>
              </w:rPr>
              <w:t>7,463,033,065.64</w:t>
            </w:r>
          </w:p>
        </w:tc>
      </w:tr>
    </w:tbl>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目标公司法定审计师中兴华会计师事务所（特殊普通合伙）审计的财务报表，并出具了标准无保留意见。</w:t>
      </w:r>
    </w:p>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目标公司法定审计师信永中和（特殊普通合伙）会计师事务所有限公司审计的财务报表，并出具了标准无保留意见。</w:t>
      </w:r>
    </w:p>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注</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：苏锡常南部高速于</w:t>
      </w:r>
      <w:r>
        <w:rPr>
          <w:rFonts w:cs="宋体" w:asciiTheme="minorEastAsia" w:hAnsiTheme="minorEastAsia" w:eastAsiaTheme="minorEastAsia"/>
          <w:sz w:val="24"/>
          <w:szCs w:val="24"/>
          <w:shd w:val="clear" w:color="auto" w:fill="FFFFFF"/>
          <w:lang w:val="en-US" w:eastAsia="zh-CN"/>
        </w:rPr>
        <w:t>2021</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12</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30</w:t>
      </w:r>
      <w:r>
        <w:rPr>
          <w:rFonts w:hint="eastAsia" w:cs="宋体" w:asciiTheme="minorEastAsia" w:hAnsiTheme="minorEastAsia" w:eastAsiaTheme="minorEastAsia"/>
          <w:sz w:val="24"/>
          <w:szCs w:val="24"/>
          <w:shd w:val="clear" w:color="auto" w:fill="FFFFFF"/>
          <w:lang w:val="en-US" w:eastAsia="zh-CN"/>
        </w:rPr>
        <w:t>日开始通车营运</w:t>
      </w:r>
    </w:p>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注</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2021</w:t>
      </w:r>
      <w:r>
        <w:rPr>
          <w:rFonts w:hint="eastAsia" w:cs="宋体" w:asciiTheme="minorEastAsia" w:hAnsiTheme="minorEastAsia" w:eastAsiaTheme="minorEastAsia"/>
          <w:sz w:val="24"/>
          <w:szCs w:val="24"/>
          <w:shd w:val="clear" w:color="auto" w:fill="FFFFFF"/>
          <w:lang w:val="en-US" w:eastAsia="zh-CN"/>
        </w:rPr>
        <w:t>年和</w:t>
      </w:r>
      <w:r>
        <w:rPr>
          <w:rFonts w:cs="宋体" w:asciiTheme="minorEastAsia" w:hAnsiTheme="minorEastAsia" w:eastAsiaTheme="minorEastAsia"/>
          <w:sz w:val="24"/>
          <w:szCs w:val="24"/>
          <w:shd w:val="clear" w:color="auto" w:fill="FFFFFF"/>
          <w:lang w:val="en-US" w:eastAsia="zh-CN"/>
        </w:rPr>
        <w:t>2022</w:t>
      </w:r>
      <w:r>
        <w:rPr>
          <w:rFonts w:hint="eastAsia" w:cs="宋体" w:asciiTheme="minorEastAsia" w:hAnsiTheme="minorEastAsia" w:eastAsiaTheme="minorEastAsia"/>
          <w:sz w:val="24"/>
          <w:szCs w:val="24"/>
          <w:shd w:val="clear" w:color="auto" w:fill="FFFFFF"/>
          <w:lang w:val="en-US" w:eastAsia="zh-CN"/>
        </w:rPr>
        <w:t>年税前亏损主要来自营业成本和财务费用，</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1-10</w:t>
      </w:r>
      <w:r>
        <w:rPr>
          <w:rFonts w:hint="eastAsia" w:cs="宋体" w:asciiTheme="minorEastAsia" w:hAnsiTheme="minorEastAsia" w:eastAsiaTheme="minorEastAsia"/>
          <w:sz w:val="24"/>
          <w:szCs w:val="24"/>
          <w:shd w:val="clear" w:color="auto" w:fill="FFFFFF"/>
          <w:lang w:val="en-US" w:eastAsia="zh-CN"/>
        </w:rPr>
        <w:t>月税前亏损主要来自财务费用</w:t>
      </w:r>
    </w:p>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highlight w:val="green"/>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注</w:t>
      </w:r>
      <w:r>
        <w:rPr>
          <w:rFonts w:cs="宋体" w:asciiTheme="minorEastAsia" w:hAnsiTheme="minorEastAsia" w:eastAsiaTheme="minorEastAsia"/>
          <w:sz w:val="24"/>
          <w:szCs w:val="24"/>
          <w:shd w:val="clear" w:color="auto" w:fill="FFFFFF"/>
          <w:lang w:val="en-US" w:eastAsia="zh-CN"/>
        </w:rPr>
        <w:t>3</w:t>
      </w:r>
      <w:r>
        <w:rPr>
          <w:rFonts w:hint="eastAsia" w:cs="宋体" w:asciiTheme="minorEastAsia" w:hAnsiTheme="minorEastAsia" w:eastAsiaTheme="minorEastAsia"/>
          <w:sz w:val="24"/>
          <w:szCs w:val="24"/>
          <w:shd w:val="clear" w:color="auto" w:fill="FFFFFF"/>
          <w:lang w:val="en-US" w:eastAsia="zh-CN"/>
        </w:rPr>
        <w:t>：净资产增加主要来自股东出资</w:t>
      </w:r>
    </w:p>
    <w:p>
      <w:pPr>
        <w:pStyle w:val="4"/>
        <w:contextualSpacing/>
        <w:rPr>
          <w:shd w:val="clear" w:color="auto" w:fill="FFFFFF"/>
        </w:rPr>
      </w:pPr>
      <w:r>
        <w:rPr>
          <w:rFonts w:hint="eastAsia"/>
          <w:shd w:val="clear" w:color="auto" w:fill="FFFFFF"/>
        </w:rPr>
        <w:t>（四）运营情况说明</w:t>
      </w:r>
    </w:p>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自</w:t>
      </w:r>
      <w:r>
        <w:rPr>
          <w:rFonts w:cs="宋体" w:asciiTheme="minorEastAsia" w:hAnsiTheme="minorEastAsia" w:eastAsiaTheme="minorEastAsia"/>
          <w:sz w:val="24"/>
          <w:szCs w:val="24"/>
          <w:shd w:val="clear" w:color="auto" w:fill="FFFFFF"/>
          <w:lang w:val="en-US" w:eastAsia="zh-CN"/>
        </w:rPr>
        <w:t>2021</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日，苏锡常南部高速公司委托本公司日常经营管理事务（不含服务区及加油站业务）。自太湖湾服务区正式对外经营</w:t>
      </w:r>
      <w:r>
        <w:rPr>
          <w:rFonts w:cs="宋体" w:asciiTheme="minorEastAsia" w:hAnsiTheme="minorEastAsia" w:eastAsiaTheme="minorEastAsia"/>
          <w:sz w:val="24"/>
          <w:szCs w:val="24"/>
          <w:shd w:val="clear" w:color="auto" w:fill="FFFFFF"/>
          <w:lang w:val="en-US" w:eastAsia="zh-CN"/>
        </w:rPr>
        <w:t>(2022</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8</w:t>
      </w:r>
      <w:r>
        <w:rPr>
          <w:rFonts w:hint="eastAsia" w:cs="宋体" w:asciiTheme="minorEastAsia" w:hAnsiTheme="minorEastAsia" w:eastAsiaTheme="minorEastAsia"/>
          <w:sz w:val="24"/>
          <w:szCs w:val="24"/>
          <w:shd w:val="clear" w:color="auto" w:fill="FFFFFF"/>
          <w:lang w:val="en-US" w:eastAsia="zh-CN"/>
        </w:rPr>
        <w:t>日</w:t>
      </w:r>
      <w:r>
        <w:rPr>
          <w:rFonts w:cs="宋体" w:asciiTheme="minorEastAsia" w:hAnsiTheme="minorEastAsia" w:eastAsiaTheme="minorEastAsia"/>
          <w:sz w:val="24"/>
          <w:szCs w:val="24"/>
          <w:shd w:val="clear" w:color="auto" w:fill="FFFFFF"/>
          <w:lang w:val="en-US" w:eastAsia="zh-CN"/>
        </w:rPr>
        <w:t xml:space="preserve">) </w:t>
      </w:r>
      <w:r>
        <w:rPr>
          <w:rFonts w:hint="eastAsia" w:cs="宋体" w:asciiTheme="minorEastAsia" w:hAnsiTheme="minorEastAsia" w:eastAsiaTheme="minorEastAsia"/>
          <w:sz w:val="24"/>
          <w:szCs w:val="24"/>
          <w:shd w:val="clear" w:color="auto" w:fill="FFFFFF"/>
          <w:lang w:val="en-US" w:eastAsia="zh-CN"/>
        </w:rPr>
        <w:t>，苏锡常南部高速公司委托本公司全资子公司江苏长江商业能源有限公司（以下简称“长江商能公司</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）管理服务区及将服务区加油站出租给本公司经营。详情如下</w:t>
      </w:r>
      <w:r>
        <w:rPr>
          <w:rFonts w:cs="宋体" w:asciiTheme="minorEastAsia" w:hAnsiTheme="minorEastAsia" w:eastAsiaTheme="minorEastAsia"/>
          <w:sz w:val="24"/>
          <w:szCs w:val="24"/>
          <w:shd w:val="clear" w:color="auto" w:fill="FFFFFF"/>
          <w:lang w:val="en-US" w:eastAsia="zh-CN"/>
        </w:rPr>
        <w:t>:</w:t>
      </w:r>
    </w:p>
    <w:p>
      <w:pPr>
        <w:autoSpaceDE w:val="0"/>
        <w:autoSpaceDN w:val="0"/>
        <w:adjustRightInd w:val="0"/>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于</w:t>
      </w:r>
      <w:r>
        <w:rPr>
          <w:rFonts w:cs="宋体" w:asciiTheme="minorEastAsia" w:hAnsiTheme="minorEastAsia" w:eastAsiaTheme="minorEastAsia"/>
          <w:sz w:val="24"/>
          <w:szCs w:val="24"/>
          <w:shd w:val="clear" w:color="auto" w:fill="FFFFFF"/>
          <w:lang w:val="en-US" w:eastAsia="zh-CN"/>
        </w:rPr>
        <w:t>2021</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3</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26</w:t>
      </w:r>
      <w:r>
        <w:rPr>
          <w:rFonts w:hint="eastAsia" w:cs="宋体" w:asciiTheme="minorEastAsia" w:hAnsiTheme="minorEastAsia" w:eastAsiaTheme="minorEastAsia"/>
          <w:sz w:val="24"/>
          <w:szCs w:val="24"/>
          <w:shd w:val="clear" w:color="auto" w:fill="FFFFFF"/>
          <w:lang w:val="en-US" w:eastAsia="zh-CN"/>
        </w:rPr>
        <w:t>日，</w:t>
      </w:r>
    </w:p>
    <w:p>
      <w:pPr>
        <w:pStyle w:val="6"/>
        <w:ind w:firstLine="480"/>
        <w:contextualSpacing/>
        <w:rPr>
          <w:rFonts w:asciiTheme="minorEastAsia" w:hAnsiTheme="minorEastAsia" w:eastAsiaTheme="minorEastAsia"/>
          <w:sz w:val="24"/>
          <w:szCs w:val="24"/>
        </w:rPr>
      </w:pPr>
      <w:r>
        <w:rPr>
          <w:rFonts w:hint="eastAsia" w:asciiTheme="minorEastAsia" w:hAnsiTheme="minorEastAsia" w:eastAsiaTheme="minorEastAsia"/>
          <w:sz w:val="24"/>
          <w:szCs w:val="24"/>
        </w:rPr>
        <w:t>（1）本公司全资子公司长江商能公司就服务区委托管理事项与苏锡常南部高速公司签署框架协议，期限自服务区正式对外经营之日起三年，预计与苏锡常南部高速公司该协议金额不超过人民币</w:t>
      </w:r>
      <w:r>
        <w:rPr>
          <w:rFonts w:asciiTheme="minorEastAsia" w:hAnsiTheme="minorEastAsia" w:eastAsiaTheme="minorEastAsia"/>
          <w:sz w:val="24"/>
          <w:szCs w:val="24"/>
        </w:rPr>
        <w:t>1,800</w:t>
      </w:r>
      <w:r>
        <w:rPr>
          <w:rFonts w:hint="eastAsia" w:asciiTheme="minorEastAsia" w:hAnsiTheme="minorEastAsia" w:eastAsiaTheme="minorEastAsia"/>
          <w:sz w:val="24"/>
          <w:szCs w:val="24"/>
        </w:rPr>
        <w:t>万元（自开通之日起首年不超过</w:t>
      </w:r>
      <w:r>
        <w:rPr>
          <w:rFonts w:asciiTheme="minorEastAsia" w:hAnsiTheme="minorEastAsia" w:eastAsiaTheme="minorEastAsia"/>
          <w:sz w:val="24"/>
          <w:szCs w:val="24"/>
        </w:rPr>
        <w:t>550</w:t>
      </w:r>
      <w:r>
        <w:rPr>
          <w:rFonts w:hint="eastAsia" w:asciiTheme="minorEastAsia" w:hAnsiTheme="minorEastAsia" w:eastAsiaTheme="minorEastAsia"/>
          <w:sz w:val="24"/>
          <w:szCs w:val="24"/>
        </w:rPr>
        <w:t>万元、第二年不超过</w:t>
      </w:r>
      <w:r>
        <w:rPr>
          <w:rFonts w:asciiTheme="minorEastAsia" w:hAnsiTheme="minorEastAsia" w:eastAsiaTheme="minorEastAsia"/>
          <w:sz w:val="24"/>
          <w:szCs w:val="24"/>
        </w:rPr>
        <w:t>600</w:t>
      </w:r>
      <w:r>
        <w:rPr>
          <w:rFonts w:hint="eastAsia" w:asciiTheme="minorEastAsia" w:hAnsiTheme="minorEastAsia" w:eastAsiaTheme="minorEastAsia"/>
          <w:sz w:val="24"/>
          <w:szCs w:val="24"/>
        </w:rPr>
        <w:t>万元、第三年不超过</w:t>
      </w:r>
      <w:r>
        <w:rPr>
          <w:rFonts w:asciiTheme="minorEastAsia" w:hAnsiTheme="minorEastAsia" w:eastAsiaTheme="minorEastAsia"/>
          <w:sz w:val="24"/>
          <w:szCs w:val="24"/>
        </w:rPr>
        <w:t>650</w:t>
      </w:r>
      <w:r>
        <w:rPr>
          <w:rFonts w:hint="eastAsia" w:asciiTheme="minorEastAsia" w:hAnsiTheme="minorEastAsia" w:eastAsiaTheme="minorEastAsia"/>
          <w:sz w:val="24"/>
          <w:szCs w:val="24"/>
        </w:rPr>
        <w:t xml:space="preserve">万元）。 </w:t>
      </w:r>
    </w:p>
    <w:p>
      <w:pPr>
        <w:pStyle w:val="6"/>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2</w:t>
      </w:r>
      <w:r>
        <w:rPr>
          <w:rFonts w:hint="eastAsia" w:asciiTheme="minorEastAsia" w:hAnsiTheme="minorEastAsia" w:eastAsiaTheme="minorEastAsia"/>
          <w:sz w:val="24"/>
          <w:szCs w:val="24"/>
        </w:rPr>
        <w:t>）本公司就加油站租赁事项与苏锡常南部高速公司签署有关框架协议，苏锡常南部高速公司将服务区加油站出租给本公司经营，经营租赁期限自太湖湾服务区加油站正式对外经营之日起三年，租赁价格为根据加油量定价，并根据目前预估相关加油站正式对外经营之日起三年的加油量，预计租赁金额不超过人民币</w:t>
      </w:r>
      <w:r>
        <w:rPr>
          <w:rFonts w:asciiTheme="minorEastAsia" w:hAnsiTheme="minorEastAsia" w:eastAsiaTheme="minorEastAsia"/>
          <w:sz w:val="24"/>
          <w:szCs w:val="24"/>
        </w:rPr>
        <w:t xml:space="preserve">400 </w:t>
      </w:r>
      <w:r>
        <w:rPr>
          <w:rFonts w:hint="eastAsia" w:asciiTheme="minorEastAsia" w:hAnsiTheme="minorEastAsia" w:eastAsiaTheme="minorEastAsia"/>
          <w:sz w:val="24"/>
          <w:szCs w:val="24"/>
        </w:rPr>
        <w:t>万元（</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年不超过人民币</w:t>
      </w:r>
      <w:r>
        <w:rPr>
          <w:rFonts w:asciiTheme="minorEastAsia" w:hAnsiTheme="minorEastAsia" w:eastAsiaTheme="minorEastAsia"/>
          <w:sz w:val="24"/>
          <w:szCs w:val="24"/>
        </w:rPr>
        <w:t xml:space="preserve">115 </w:t>
      </w:r>
      <w:r>
        <w:rPr>
          <w:rFonts w:hint="eastAsia" w:asciiTheme="minorEastAsia" w:hAnsiTheme="minorEastAsia" w:eastAsiaTheme="minorEastAsia"/>
          <w:sz w:val="24"/>
          <w:szCs w:val="24"/>
        </w:rPr>
        <w:t>万元，</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年不超过人民币</w:t>
      </w:r>
      <w:r>
        <w:rPr>
          <w:rFonts w:asciiTheme="minorEastAsia" w:hAnsiTheme="minorEastAsia" w:eastAsiaTheme="minorEastAsia"/>
          <w:sz w:val="24"/>
          <w:szCs w:val="24"/>
        </w:rPr>
        <w:t>135</w:t>
      </w:r>
      <w:r>
        <w:rPr>
          <w:rFonts w:hint="eastAsia" w:asciiTheme="minorEastAsia" w:hAnsiTheme="minorEastAsia" w:eastAsiaTheme="minorEastAsia"/>
          <w:sz w:val="24"/>
          <w:szCs w:val="24"/>
        </w:rPr>
        <w:t>万元，</w:t>
      </w:r>
      <w:r>
        <w:rPr>
          <w:rFonts w:asciiTheme="minorEastAsia" w:hAnsiTheme="minorEastAsia" w:eastAsiaTheme="minorEastAsia"/>
          <w:sz w:val="24"/>
          <w:szCs w:val="24"/>
        </w:rPr>
        <w:t>2023</w:t>
      </w:r>
      <w:r>
        <w:rPr>
          <w:rFonts w:hint="eastAsia" w:asciiTheme="minorEastAsia" w:hAnsiTheme="minorEastAsia" w:eastAsiaTheme="minorEastAsia"/>
          <w:sz w:val="24"/>
          <w:szCs w:val="24"/>
        </w:rPr>
        <w:t>年不超过人民币</w:t>
      </w:r>
      <w:r>
        <w:rPr>
          <w:rFonts w:asciiTheme="minorEastAsia" w:hAnsiTheme="minorEastAsia" w:eastAsiaTheme="minorEastAsia"/>
          <w:sz w:val="24"/>
          <w:szCs w:val="24"/>
        </w:rPr>
        <w:t>150</w:t>
      </w:r>
      <w:r>
        <w:rPr>
          <w:rFonts w:hint="eastAsia" w:asciiTheme="minorEastAsia" w:hAnsiTheme="minorEastAsia" w:eastAsiaTheme="minorEastAsia"/>
          <w:sz w:val="24"/>
          <w:szCs w:val="24"/>
        </w:rPr>
        <w:t>万元）。</w:t>
      </w:r>
    </w:p>
    <w:p>
      <w:pPr>
        <w:pStyle w:val="6"/>
        <w:ind w:firstLine="48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3</w:t>
      </w:r>
      <w:r>
        <w:rPr>
          <w:rFonts w:hint="eastAsia" w:asciiTheme="minorEastAsia" w:hAnsiTheme="minorEastAsia" w:eastAsiaTheme="minorEastAsia"/>
          <w:sz w:val="24"/>
          <w:szCs w:val="24"/>
        </w:rPr>
        <w:t>）本公司就委托经营管理事项与苏锡常南部高速公司签署委托管理协议，将苏锡常南部高速公司日常经营管理事务（不含服务区及加油站业务）委托给本公司，委托管理期限自</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w:t>
      </w:r>
      <w:r>
        <w:rPr>
          <w:rFonts w:hint="eastAsia" w:asciiTheme="minorEastAsia" w:hAnsiTheme="minorEastAsia" w:eastAsiaTheme="minorEastAsia"/>
          <w:sz w:val="24"/>
          <w:szCs w:val="24"/>
        </w:rPr>
        <w:t>月</w:t>
      </w:r>
      <w:r>
        <w:rPr>
          <w:rFonts w:asciiTheme="minorEastAsia" w:hAnsiTheme="minorEastAsia" w:eastAsiaTheme="minorEastAsia"/>
          <w:sz w:val="24"/>
          <w:szCs w:val="24"/>
        </w:rPr>
        <w:t>1</w:t>
      </w:r>
      <w:r>
        <w:rPr>
          <w:rFonts w:hint="eastAsia" w:asciiTheme="minorEastAsia" w:hAnsiTheme="minorEastAsia" w:eastAsiaTheme="minorEastAsia"/>
          <w:sz w:val="24"/>
          <w:szCs w:val="24"/>
        </w:rPr>
        <w:t>日至</w:t>
      </w:r>
      <w:r>
        <w:rPr>
          <w:rFonts w:asciiTheme="minorEastAsia" w:hAnsiTheme="minorEastAsia" w:eastAsiaTheme="minorEastAsia"/>
          <w:sz w:val="24"/>
          <w:szCs w:val="24"/>
        </w:rPr>
        <w:t>2023</w:t>
      </w:r>
      <w:r>
        <w:rPr>
          <w:rFonts w:hint="eastAsia" w:asciiTheme="minorEastAsia" w:hAnsiTheme="minorEastAsia" w:eastAsiaTheme="minorEastAsia"/>
          <w:sz w:val="24"/>
          <w:szCs w:val="24"/>
        </w:rPr>
        <w:t>年</w:t>
      </w:r>
      <w:r>
        <w:rPr>
          <w:rFonts w:asciiTheme="minorEastAsia" w:hAnsiTheme="minorEastAsia" w:eastAsiaTheme="minorEastAsia"/>
          <w:sz w:val="24"/>
          <w:szCs w:val="24"/>
        </w:rPr>
        <w:t>12</w:t>
      </w:r>
      <w:r>
        <w:rPr>
          <w:rFonts w:hint="eastAsia" w:asciiTheme="minorEastAsia" w:hAnsiTheme="minorEastAsia" w:eastAsiaTheme="minorEastAsia"/>
          <w:sz w:val="24"/>
          <w:szCs w:val="24"/>
        </w:rPr>
        <w:t>月</w:t>
      </w:r>
      <w:r>
        <w:rPr>
          <w:rFonts w:asciiTheme="minorEastAsia" w:hAnsiTheme="minorEastAsia" w:eastAsiaTheme="minorEastAsia"/>
          <w:sz w:val="24"/>
          <w:szCs w:val="24"/>
        </w:rPr>
        <w:t>31</w:t>
      </w:r>
      <w:r>
        <w:rPr>
          <w:rFonts w:hint="eastAsia" w:asciiTheme="minorEastAsia" w:hAnsiTheme="minorEastAsia" w:eastAsiaTheme="minorEastAsia"/>
          <w:sz w:val="24"/>
          <w:szCs w:val="24"/>
        </w:rPr>
        <w:t>日，协议总金额不超过人民币</w:t>
      </w:r>
      <w:r>
        <w:rPr>
          <w:rFonts w:asciiTheme="minorEastAsia" w:hAnsiTheme="minorEastAsia" w:eastAsiaTheme="minorEastAsia"/>
          <w:sz w:val="24"/>
          <w:szCs w:val="24"/>
        </w:rPr>
        <w:t xml:space="preserve">14,600 </w:t>
      </w:r>
      <w:r>
        <w:rPr>
          <w:rFonts w:hint="eastAsia" w:asciiTheme="minorEastAsia" w:hAnsiTheme="minorEastAsia" w:eastAsiaTheme="minorEastAsia"/>
          <w:sz w:val="24"/>
          <w:szCs w:val="24"/>
        </w:rPr>
        <w:t>万元（</w:t>
      </w:r>
      <w:r>
        <w:rPr>
          <w:rFonts w:asciiTheme="minorEastAsia" w:hAnsiTheme="minorEastAsia" w:eastAsiaTheme="minorEastAsia"/>
          <w:sz w:val="24"/>
          <w:szCs w:val="24"/>
        </w:rPr>
        <w:t>2021</w:t>
      </w:r>
      <w:r>
        <w:rPr>
          <w:rFonts w:hint="eastAsia" w:asciiTheme="minorEastAsia" w:hAnsiTheme="minorEastAsia" w:eastAsiaTheme="minorEastAsia"/>
          <w:sz w:val="24"/>
          <w:szCs w:val="24"/>
        </w:rPr>
        <w:t>年不超过人民币</w:t>
      </w:r>
      <w:r>
        <w:rPr>
          <w:rFonts w:asciiTheme="minorEastAsia" w:hAnsiTheme="minorEastAsia" w:eastAsiaTheme="minorEastAsia"/>
          <w:sz w:val="24"/>
          <w:szCs w:val="24"/>
        </w:rPr>
        <w:t xml:space="preserve">600 </w:t>
      </w:r>
      <w:r>
        <w:rPr>
          <w:rFonts w:hint="eastAsia" w:asciiTheme="minorEastAsia" w:hAnsiTheme="minorEastAsia" w:eastAsiaTheme="minorEastAsia"/>
          <w:sz w:val="24"/>
          <w:szCs w:val="24"/>
        </w:rPr>
        <w:t>万元，</w:t>
      </w:r>
      <w:r>
        <w:rPr>
          <w:rFonts w:asciiTheme="minorEastAsia" w:hAnsiTheme="minorEastAsia" w:eastAsiaTheme="minorEastAsia"/>
          <w:sz w:val="24"/>
          <w:szCs w:val="24"/>
        </w:rPr>
        <w:t>2022</w:t>
      </w:r>
      <w:r>
        <w:rPr>
          <w:rFonts w:hint="eastAsia" w:asciiTheme="minorEastAsia" w:hAnsiTheme="minorEastAsia" w:eastAsiaTheme="minorEastAsia"/>
          <w:sz w:val="24"/>
          <w:szCs w:val="24"/>
        </w:rPr>
        <w:t>年不超过人民币</w:t>
      </w:r>
      <w:r>
        <w:rPr>
          <w:rFonts w:asciiTheme="minorEastAsia" w:hAnsiTheme="minorEastAsia" w:eastAsiaTheme="minorEastAsia"/>
          <w:sz w:val="24"/>
          <w:szCs w:val="24"/>
        </w:rPr>
        <w:t xml:space="preserve">6,900 </w:t>
      </w:r>
      <w:r>
        <w:rPr>
          <w:rFonts w:hint="eastAsia" w:asciiTheme="minorEastAsia" w:hAnsiTheme="minorEastAsia" w:eastAsiaTheme="minorEastAsia"/>
          <w:sz w:val="24"/>
          <w:szCs w:val="24"/>
        </w:rPr>
        <w:t>万元，</w:t>
      </w:r>
      <w:r>
        <w:rPr>
          <w:rFonts w:asciiTheme="minorEastAsia" w:hAnsiTheme="minorEastAsia" w:eastAsiaTheme="minorEastAsia"/>
          <w:sz w:val="24"/>
          <w:szCs w:val="24"/>
        </w:rPr>
        <w:t>2023</w:t>
      </w:r>
      <w:r>
        <w:rPr>
          <w:rFonts w:hint="eastAsia" w:asciiTheme="minorEastAsia" w:hAnsiTheme="minorEastAsia" w:eastAsiaTheme="minorEastAsia"/>
          <w:sz w:val="24"/>
          <w:szCs w:val="24"/>
        </w:rPr>
        <w:t>年不超过人民币</w:t>
      </w:r>
      <w:r>
        <w:rPr>
          <w:rFonts w:asciiTheme="minorEastAsia" w:hAnsiTheme="minorEastAsia" w:eastAsiaTheme="minorEastAsia"/>
          <w:sz w:val="24"/>
          <w:szCs w:val="24"/>
        </w:rPr>
        <w:t>7,100</w:t>
      </w:r>
      <w:r>
        <w:rPr>
          <w:rFonts w:hint="eastAsia" w:asciiTheme="minorEastAsia" w:hAnsiTheme="minorEastAsia" w:eastAsiaTheme="minorEastAsia"/>
          <w:sz w:val="24"/>
          <w:szCs w:val="24"/>
        </w:rPr>
        <w:t>万元）。</w:t>
      </w:r>
    </w:p>
    <w:p>
      <w:pPr>
        <w:autoSpaceDE w:val="0"/>
        <w:autoSpaceDN w:val="0"/>
        <w:adjustRightInd w:val="0"/>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于</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12</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26</w:t>
      </w:r>
      <w:r>
        <w:rPr>
          <w:rFonts w:hint="eastAsia" w:cs="宋体" w:asciiTheme="minorEastAsia" w:hAnsiTheme="minorEastAsia" w:eastAsiaTheme="minorEastAsia"/>
          <w:sz w:val="24"/>
          <w:szCs w:val="24"/>
          <w:shd w:val="clear" w:color="auto" w:fill="FFFFFF"/>
          <w:lang w:val="en-US" w:eastAsia="zh-CN"/>
        </w:rPr>
        <w:t>日，为保障日常经营管理水平和服务质量，苏锡常南部高速公司继续委托本公司日常经营管理事务签署委托管理协议，委托管理期限自</w:t>
      </w:r>
      <w:r>
        <w:rPr>
          <w:rFonts w:cs="宋体" w:asciiTheme="minorEastAsia" w:hAnsiTheme="minorEastAsia" w:eastAsiaTheme="minorEastAsia"/>
          <w:sz w:val="24"/>
          <w:szCs w:val="24"/>
          <w:shd w:val="clear" w:color="auto" w:fill="FFFFFF"/>
          <w:lang w:val="en-US" w:eastAsia="zh-CN"/>
        </w:rPr>
        <w:t>2024</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日至</w:t>
      </w:r>
      <w:r>
        <w:rPr>
          <w:rFonts w:cs="宋体" w:asciiTheme="minorEastAsia" w:hAnsiTheme="minorEastAsia" w:eastAsiaTheme="minorEastAsia"/>
          <w:sz w:val="24"/>
          <w:szCs w:val="24"/>
          <w:shd w:val="clear" w:color="auto" w:fill="FFFFFF"/>
          <w:lang w:val="en-US" w:eastAsia="zh-CN"/>
        </w:rPr>
        <w:t>2026</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4</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30</w:t>
      </w:r>
      <w:r>
        <w:rPr>
          <w:rFonts w:hint="eastAsia" w:cs="宋体" w:asciiTheme="minorEastAsia" w:hAnsiTheme="minorEastAsia" w:eastAsiaTheme="minorEastAsia"/>
          <w:sz w:val="24"/>
          <w:szCs w:val="24"/>
          <w:shd w:val="clear" w:color="auto" w:fill="FFFFFF"/>
          <w:lang w:val="en-US" w:eastAsia="zh-CN"/>
        </w:rPr>
        <w:t>日，委托费用按成本加成</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，预计</w:t>
      </w:r>
      <w:r>
        <w:rPr>
          <w:rFonts w:cs="宋体" w:asciiTheme="minorEastAsia" w:hAnsiTheme="minorEastAsia" w:eastAsiaTheme="minorEastAsia"/>
          <w:sz w:val="24"/>
          <w:szCs w:val="24"/>
          <w:shd w:val="clear" w:color="auto" w:fill="FFFFFF"/>
          <w:lang w:val="en-US" w:eastAsia="zh-CN"/>
        </w:rPr>
        <w:t xml:space="preserve">2024 </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 xml:space="preserve">1 </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日至</w:t>
      </w:r>
      <w:r>
        <w:rPr>
          <w:rFonts w:cs="宋体" w:asciiTheme="minorEastAsia" w:hAnsiTheme="minorEastAsia" w:eastAsiaTheme="minorEastAsia"/>
          <w:sz w:val="24"/>
          <w:szCs w:val="24"/>
          <w:shd w:val="clear" w:color="auto" w:fill="FFFFFF"/>
          <w:lang w:val="en-US" w:eastAsia="zh-CN"/>
        </w:rPr>
        <w:t>12</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日不超过人民币</w:t>
      </w:r>
      <w:r>
        <w:rPr>
          <w:rFonts w:cs="宋体" w:asciiTheme="minorEastAsia" w:hAnsiTheme="minorEastAsia" w:eastAsiaTheme="minorEastAsia"/>
          <w:sz w:val="24"/>
          <w:szCs w:val="24"/>
          <w:shd w:val="clear" w:color="auto" w:fill="FFFFFF"/>
          <w:lang w:val="en-US" w:eastAsia="zh-CN"/>
        </w:rPr>
        <w:t xml:space="preserve">5,300 </w:t>
      </w:r>
      <w:r>
        <w:rPr>
          <w:rFonts w:hint="eastAsia" w:cs="宋体" w:asciiTheme="minorEastAsia" w:hAnsiTheme="minorEastAsia" w:eastAsiaTheme="minorEastAsia"/>
          <w:sz w:val="24"/>
          <w:szCs w:val="24"/>
          <w:shd w:val="clear" w:color="auto" w:fill="FFFFFF"/>
          <w:lang w:val="en-US" w:eastAsia="zh-CN"/>
        </w:rPr>
        <w:t>万元、</w:t>
      </w:r>
      <w:r>
        <w:rPr>
          <w:rFonts w:cs="宋体" w:asciiTheme="minorEastAsia" w:hAnsiTheme="minorEastAsia" w:eastAsiaTheme="minorEastAsia"/>
          <w:sz w:val="24"/>
          <w:szCs w:val="24"/>
          <w:shd w:val="clear" w:color="auto" w:fill="FFFFFF"/>
          <w:lang w:val="en-US" w:eastAsia="zh-CN"/>
        </w:rPr>
        <w:t xml:space="preserve">2025 </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 xml:space="preserve">1 </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日至</w:t>
      </w:r>
      <w:r>
        <w:rPr>
          <w:rFonts w:cs="宋体" w:asciiTheme="minorEastAsia" w:hAnsiTheme="minorEastAsia" w:eastAsiaTheme="minorEastAsia"/>
          <w:sz w:val="24"/>
          <w:szCs w:val="24"/>
          <w:shd w:val="clear" w:color="auto" w:fill="FFFFFF"/>
          <w:lang w:val="en-US" w:eastAsia="zh-CN"/>
        </w:rPr>
        <w:t xml:space="preserve">12 </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日不超过人民币</w:t>
      </w:r>
      <w:r>
        <w:rPr>
          <w:rFonts w:cs="宋体" w:asciiTheme="minorEastAsia" w:hAnsiTheme="minorEastAsia" w:eastAsiaTheme="minorEastAsia"/>
          <w:sz w:val="24"/>
          <w:szCs w:val="24"/>
          <w:shd w:val="clear" w:color="auto" w:fill="FFFFFF"/>
          <w:lang w:val="en-US" w:eastAsia="zh-CN"/>
        </w:rPr>
        <w:t xml:space="preserve">5,830 </w:t>
      </w:r>
      <w:r>
        <w:rPr>
          <w:rFonts w:hint="eastAsia" w:cs="宋体" w:asciiTheme="minorEastAsia" w:hAnsiTheme="minorEastAsia" w:eastAsiaTheme="minorEastAsia"/>
          <w:sz w:val="24"/>
          <w:szCs w:val="24"/>
          <w:shd w:val="clear" w:color="auto" w:fill="FFFFFF"/>
          <w:lang w:val="en-US" w:eastAsia="zh-CN"/>
        </w:rPr>
        <w:t>万元、</w:t>
      </w:r>
      <w:r>
        <w:rPr>
          <w:rFonts w:cs="宋体" w:asciiTheme="minorEastAsia" w:hAnsiTheme="minorEastAsia" w:eastAsiaTheme="minorEastAsia"/>
          <w:sz w:val="24"/>
          <w:szCs w:val="24"/>
          <w:shd w:val="clear" w:color="auto" w:fill="FFFFFF"/>
          <w:lang w:val="en-US" w:eastAsia="zh-CN"/>
        </w:rPr>
        <w:t xml:space="preserve">2026 </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 xml:space="preserve">1 </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日至</w:t>
      </w:r>
      <w:r>
        <w:rPr>
          <w:rFonts w:cs="宋体" w:asciiTheme="minorEastAsia" w:hAnsiTheme="minorEastAsia" w:eastAsiaTheme="minorEastAsia"/>
          <w:sz w:val="24"/>
          <w:szCs w:val="24"/>
          <w:shd w:val="clear" w:color="auto" w:fill="FFFFFF"/>
          <w:lang w:val="en-US" w:eastAsia="zh-CN"/>
        </w:rPr>
        <w:t xml:space="preserve">4 </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30</w:t>
      </w:r>
      <w:r>
        <w:rPr>
          <w:rFonts w:hint="eastAsia" w:cs="宋体" w:asciiTheme="minorEastAsia" w:hAnsiTheme="minorEastAsia" w:eastAsiaTheme="minorEastAsia"/>
          <w:sz w:val="24"/>
          <w:szCs w:val="24"/>
          <w:shd w:val="clear" w:color="auto" w:fill="FFFFFF"/>
          <w:lang w:val="en-US" w:eastAsia="zh-CN"/>
        </w:rPr>
        <w:t>日不超过人民币</w:t>
      </w:r>
      <w:r>
        <w:rPr>
          <w:rFonts w:cs="宋体" w:asciiTheme="minorEastAsia" w:hAnsiTheme="minorEastAsia" w:eastAsiaTheme="minorEastAsia"/>
          <w:sz w:val="24"/>
          <w:szCs w:val="24"/>
          <w:shd w:val="clear" w:color="auto" w:fill="FFFFFF"/>
          <w:lang w:val="en-US" w:eastAsia="zh-CN"/>
        </w:rPr>
        <w:t>2,138</w:t>
      </w:r>
      <w:r>
        <w:rPr>
          <w:rFonts w:hint="eastAsia" w:cs="宋体" w:asciiTheme="minorEastAsia" w:hAnsiTheme="minorEastAsia" w:eastAsiaTheme="minorEastAsia"/>
          <w:sz w:val="24"/>
          <w:szCs w:val="24"/>
          <w:shd w:val="clear" w:color="auto" w:fill="FFFFFF"/>
          <w:lang w:val="en-US" w:eastAsia="zh-CN"/>
        </w:rPr>
        <w:t>万元。</w:t>
      </w:r>
    </w:p>
    <w:p>
      <w:pPr>
        <w:pStyle w:val="4"/>
        <w:rPr>
          <w:shd w:val="clear" w:color="auto" w:fill="FFFFFF"/>
        </w:rPr>
      </w:pPr>
      <w:r>
        <w:rPr>
          <w:rFonts w:hint="eastAsia"/>
          <w:shd w:val="clear" w:color="auto" w:fill="FFFFFF"/>
        </w:rPr>
        <w:t>（五）导致本公司合并报表范围变更情况</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本次交易一旦获得股东大会审议通过，苏锡常南部高速公司将纳入本公司合并报表范围。</w:t>
      </w:r>
    </w:p>
    <w:p>
      <w:pPr>
        <w:pStyle w:val="2"/>
      </w:pPr>
      <w:r>
        <w:rPr>
          <w:rFonts w:hint="eastAsia"/>
        </w:rPr>
        <w:t>交易标的的评估、定价情况</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根据《企业国有资产交易监督管理办法》的要求，本公司及江苏交控之间采取非公开协议转让方式进行产权转让，转让对价不得低于国有资产监督管理部门核准或备案的评估结果。江苏交控、无锡交通、</w:t>
      </w:r>
      <w:r>
        <w:rPr>
          <w:rFonts w:cs="宋体" w:asciiTheme="minorEastAsia" w:hAnsiTheme="minorEastAsia" w:eastAsiaTheme="minorEastAsia"/>
          <w:sz w:val="24"/>
          <w:szCs w:val="24"/>
          <w:shd w:val="clear" w:color="auto" w:fill="FFFFFF"/>
          <w:lang w:val="en-US" w:eastAsia="zh-CN"/>
        </w:rPr>
        <w:t xml:space="preserve"> </w:t>
      </w:r>
      <w:r>
        <w:rPr>
          <w:rFonts w:hint="eastAsia" w:cs="宋体" w:asciiTheme="minorEastAsia" w:hAnsiTheme="minorEastAsia" w:eastAsiaTheme="minorEastAsia"/>
          <w:sz w:val="24"/>
          <w:szCs w:val="24"/>
          <w:shd w:val="clear" w:color="auto" w:fill="FFFFFF"/>
          <w:lang w:val="en-US" w:eastAsia="zh-CN"/>
        </w:rPr>
        <w:t>常州高投</w:t>
      </w:r>
      <w:r>
        <w:rPr>
          <w:rFonts w:cs="宋体" w:asciiTheme="minorEastAsia" w:hAnsiTheme="minorEastAsia" w:eastAsiaTheme="minorEastAsia"/>
          <w:sz w:val="24"/>
          <w:szCs w:val="24"/>
          <w:shd w:val="clear" w:color="auto" w:fill="FFFFFF"/>
          <w:lang w:val="en-US" w:eastAsia="zh-CN"/>
        </w:rPr>
        <w:t xml:space="preserve"> </w:t>
      </w:r>
      <w:r>
        <w:rPr>
          <w:rFonts w:hint="eastAsia" w:cs="宋体" w:asciiTheme="minorEastAsia" w:hAnsiTheme="minorEastAsia" w:eastAsiaTheme="minorEastAsia"/>
          <w:sz w:val="24"/>
          <w:szCs w:val="24"/>
          <w:shd w:val="clear" w:color="auto" w:fill="FFFFFF"/>
          <w:lang w:val="en-US" w:eastAsia="zh-CN"/>
        </w:rPr>
        <w:t>共同委任北京华亚正信资产评估有限公司（具有从事证券、期货业务资格公司）</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以下简称“资产评估师”</w:t>
      </w:r>
      <w:r>
        <w:rPr>
          <w:rFonts w:cs="宋体" w:asciiTheme="minorEastAsia" w:hAnsiTheme="minorEastAsia" w:eastAsiaTheme="minorEastAsia"/>
          <w:sz w:val="24"/>
          <w:szCs w:val="24"/>
          <w:shd w:val="clear" w:color="auto" w:fill="FFFFFF"/>
          <w:lang w:val="en-US" w:eastAsia="zh-CN"/>
        </w:rPr>
        <w:t xml:space="preserve">) </w:t>
      </w:r>
      <w:r>
        <w:rPr>
          <w:rFonts w:hint="eastAsia" w:cs="宋体" w:asciiTheme="minorEastAsia" w:hAnsiTheme="minorEastAsia" w:eastAsiaTheme="minorEastAsia"/>
          <w:sz w:val="24"/>
          <w:szCs w:val="24"/>
          <w:shd w:val="clear" w:color="auto" w:fill="FFFFFF"/>
          <w:lang w:val="en-US" w:eastAsia="zh-CN"/>
        </w:rPr>
        <w:t>对目标股权进行了截至</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日（以下简称“评估基准日”）的资产评估，出具了《江苏交通控股有限公司、无锡市交通产业集团有限公司和常州高速公路投资发展有限公司拟转让各自持有的苏锡常南部高速公司</w:t>
      </w:r>
      <w:r>
        <w:rPr>
          <w:rFonts w:cs="宋体" w:asciiTheme="minorEastAsia" w:hAnsiTheme="minorEastAsia" w:eastAsiaTheme="minorEastAsia"/>
          <w:sz w:val="24"/>
          <w:szCs w:val="24"/>
          <w:shd w:val="clear" w:color="auto" w:fill="FFFFFF"/>
          <w:lang w:val="en-US" w:eastAsia="zh-CN"/>
        </w:rPr>
        <w:t>65%</w:t>
      </w:r>
      <w:r>
        <w:rPr>
          <w:rFonts w:hint="eastAsia" w:cs="宋体" w:asciiTheme="minorEastAsia" w:hAnsiTheme="minorEastAsia" w:eastAsiaTheme="minorEastAsia"/>
          <w:sz w:val="24"/>
          <w:szCs w:val="24"/>
          <w:shd w:val="clear" w:color="auto" w:fill="FFFFFF"/>
          <w:lang w:val="en-US" w:eastAsia="zh-CN"/>
        </w:rPr>
        <w:t>股权、</w:t>
      </w:r>
      <w:r>
        <w:rPr>
          <w:rFonts w:cs="宋体" w:asciiTheme="minorEastAsia" w:hAnsiTheme="minorEastAsia" w:eastAsiaTheme="minorEastAsia"/>
          <w:sz w:val="24"/>
          <w:szCs w:val="24"/>
          <w:shd w:val="clear" w:color="auto" w:fill="FFFFFF"/>
          <w:lang w:val="en-US" w:eastAsia="zh-CN"/>
        </w:rPr>
        <w:t>22.8%</w:t>
      </w:r>
      <w:r>
        <w:rPr>
          <w:rFonts w:hint="eastAsia" w:cs="宋体" w:asciiTheme="minorEastAsia" w:hAnsiTheme="minorEastAsia" w:eastAsiaTheme="minorEastAsia"/>
          <w:sz w:val="24"/>
          <w:szCs w:val="24"/>
          <w:shd w:val="clear" w:color="auto" w:fill="FFFFFF"/>
          <w:lang w:val="en-US" w:eastAsia="zh-CN"/>
        </w:rPr>
        <w:t>股权和</w:t>
      </w:r>
      <w:r>
        <w:rPr>
          <w:rFonts w:cs="宋体" w:asciiTheme="minorEastAsia" w:hAnsiTheme="minorEastAsia" w:eastAsiaTheme="minorEastAsia"/>
          <w:sz w:val="24"/>
          <w:szCs w:val="24"/>
          <w:shd w:val="clear" w:color="auto" w:fill="FFFFFF"/>
          <w:lang w:val="en-US" w:eastAsia="zh-CN"/>
        </w:rPr>
        <w:t>12.2%</w:t>
      </w:r>
      <w:r>
        <w:rPr>
          <w:rFonts w:hint="eastAsia" w:cs="宋体" w:asciiTheme="minorEastAsia" w:hAnsiTheme="minorEastAsia" w:eastAsiaTheme="minorEastAsia"/>
          <w:sz w:val="24"/>
          <w:szCs w:val="24"/>
          <w:shd w:val="clear" w:color="auto" w:fill="FFFFFF"/>
          <w:lang w:val="en-US" w:eastAsia="zh-CN"/>
        </w:rPr>
        <w:t>股权涉及的该公司</w:t>
      </w:r>
      <w:r>
        <w:rPr>
          <w:rFonts w:cs="宋体" w:asciiTheme="minorEastAsia" w:hAnsiTheme="minorEastAsia" w:eastAsiaTheme="minorEastAsia"/>
          <w:sz w:val="24"/>
          <w:szCs w:val="24"/>
          <w:shd w:val="clear" w:color="auto" w:fill="FFFFFF"/>
          <w:lang w:val="en-US" w:eastAsia="zh-CN"/>
        </w:rPr>
        <w:t>100%</w:t>
      </w:r>
      <w:r>
        <w:rPr>
          <w:rFonts w:hint="eastAsia" w:cs="宋体" w:asciiTheme="minorEastAsia" w:hAnsiTheme="minorEastAsia" w:eastAsiaTheme="minorEastAsia"/>
          <w:sz w:val="24"/>
          <w:szCs w:val="24"/>
          <w:shd w:val="clear" w:color="auto" w:fill="FFFFFF"/>
          <w:lang w:val="en-US" w:eastAsia="zh-CN"/>
        </w:rPr>
        <w:t>股权价值项目资产评估报告》（文号：华亚正信评报字</w:t>
      </w:r>
      <w:r>
        <w:rPr>
          <w:rFonts w:cs="宋体" w:asciiTheme="minorEastAsia" w:hAnsiTheme="minorEastAsia" w:eastAsiaTheme="minorEastAsia"/>
          <w:sz w:val="24"/>
          <w:szCs w:val="24"/>
          <w:shd w:val="clear" w:color="auto" w:fill="FFFFFF"/>
          <w:lang w:val="en-US" w:eastAsia="zh-CN"/>
        </w:rPr>
        <w:t>[2024]</w:t>
      </w:r>
      <w:r>
        <w:rPr>
          <w:rFonts w:hint="eastAsia" w:cs="宋体" w:asciiTheme="minorEastAsia" w:hAnsiTheme="minorEastAsia" w:eastAsiaTheme="minorEastAsia"/>
          <w:sz w:val="24"/>
          <w:szCs w:val="24"/>
          <w:shd w:val="clear" w:color="auto" w:fill="FFFFFF"/>
          <w:lang w:val="en-US" w:eastAsia="zh-CN"/>
        </w:rPr>
        <w:t>第</w:t>
      </w:r>
      <w:r>
        <w:rPr>
          <w:rFonts w:cs="宋体" w:asciiTheme="minorEastAsia" w:hAnsiTheme="minorEastAsia" w:eastAsiaTheme="minorEastAsia"/>
          <w:sz w:val="24"/>
          <w:szCs w:val="24"/>
          <w:shd w:val="clear" w:color="auto" w:fill="FFFFFF"/>
          <w:lang w:val="en-US" w:eastAsia="zh-CN"/>
        </w:rPr>
        <w:t xml:space="preserve"> B12-0007 </w:t>
      </w:r>
      <w:r>
        <w:rPr>
          <w:rFonts w:hint="eastAsia" w:cs="宋体" w:asciiTheme="minorEastAsia" w:hAnsiTheme="minorEastAsia" w:eastAsiaTheme="minorEastAsia"/>
          <w:sz w:val="24"/>
          <w:szCs w:val="24"/>
          <w:shd w:val="clear" w:color="auto" w:fill="FFFFFF"/>
          <w:lang w:val="en-US" w:eastAsia="zh-CN"/>
        </w:rPr>
        <w:t>号）（（以下简称“评估报告”）</w:t>
      </w:r>
      <w:r>
        <w:rPr>
          <w:rFonts w:cs="宋体" w:asciiTheme="minorEastAsia" w:hAnsiTheme="minorEastAsia" w:eastAsiaTheme="minorEastAsia"/>
          <w:sz w:val="24"/>
          <w:szCs w:val="24"/>
          <w:shd w:val="clear" w:color="auto" w:fill="FFFFFF"/>
          <w:lang w:val="en-US" w:eastAsia="zh-CN"/>
        </w:rPr>
        <w:t xml:space="preserve"> </w:t>
      </w:r>
      <w:r>
        <w:rPr>
          <w:rFonts w:hint="eastAsia" w:cs="宋体" w:asciiTheme="minorEastAsia" w:hAnsiTheme="minorEastAsia" w:eastAsiaTheme="minorEastAsia"/>
          <w:sz w:val="24"/>
          <w:szCs w:val="24"/>
          <w:shd w:val="clear" w:color="auto" w:fill="FFFFFF"/>
          <w:lang w:val="en-US" w:eastAsia="zh-CN"/>
        </w:rPr>
        <w:t>。</w:t>
      </w:r>
    </w:p>
    <w:p>
      <w:pPr>
        <w:pStyle w:val="8"/>
        <w:spacing w:line="360" w:lineRule="auto"/>
        <w:ind w:firstLine="44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、评估对象：江苏交通控股有限公司、无锡市交通产业集团有限公司、常州高速公路投资发展有限公司各自持有的江苏苏锡常南部高速公路有限公司</w:t>
      </w:r>
      <w:r>
        <w:rPr>
          <w:rFonts w:cs="宋体" w:asciiTheme="minorEastAsia" w:hAnsiTheme="minorEastAsia" w:eastAsiaTheme="minorEastAsia"/>
          <w:sz w:val="24"/>
          <w:szCs w:val="24"/>
          <w:shd w:val="clear" w:color="auto" w:fill="FFFFFF"/>
          <w:lang w:val="en-US" w:eastAsia="zh-CN"/>
        </w:rPr>
        <w:t>65%</w:t>
      </w:r>
      <w:r>
        <w:rPr>
          <w:rFonts w:hint="eastAsia" w:cs="宋体" w:asciiTheme="minorEastAsia" w:hAnsiTheme="minorEastAsia" w:eastAsiaTheme="minorEastAsia"/>
          <w:sz w:val="24"/>
          <w:szCs w:val="24"/>
          <w:shd w:val="clear" w:color="auto" w:fill="FFFFFF"/>
          <w:lang w:val="en-US" w:eastAsia="zh-CN"/>
        </w:rPr>
        <w:t>股权、</w:t>
      </w:r>
      <w:r>
        <w:rPr>
          <w:rFonts w:cs="宋体" w:asciiTheme="minorEastAsia" w:hAnsiTheme="minorEastAsia" w:eastAsiaTheme="minorEastAsia"/>
          <w:sz w:val="24"/>
          <w:szCs w:val="24"/>
          <w:shd w:val="clear" w:color="auto" w:fill="FFFFFF"/>
          <w:lang w:val="en-US" w:eastAsia="zh-CN"/>
        </w:rPr>
        <w:t>22.8%</w:t>
      </w:r>
      <w:r>
        <w:rPr>
          <w:rFonts w:hint="eastAsia" w:cs="宋体" w:asciiTheme="minorEastAsia" w:hAnsiTheme="minorEastAsia" w:eastAsiaTheme="minorEastAsia"/>
          <w:sz w:val="24"/>
          <w:szCs w:val="24"/>
          <w:shd w:val="clear" w:color="auto" w:fill="FFFFFF"/>
          <w:lang w:val="en-US" w:eastAsia="zh-CN"/>
        </w:rPr>
        <w:t>股权和</w:t>
      </w:r>
      <w:r>
        <w:rPr>
          <w:rFonts w:cs="宋体" w:asciiTheme="minorEastAsia" w:hAnsiTheme="minorEastAsia" w:eastAsiaTheme="minorEastAsia"/>
          <w:sz w:val="24"/>
          <w:szCs w:val="24"/>
          <w:shd w:val="clear" w:color="auto" w:fill="FFFFFF"/>
          <w:lang w:val="en-US" w:eastAsia="zh-CN"/>
        </w:rPr>
        <w:t>12.2%</w:t>
      </w:r>
      <w:r>
        <w:rPr>
          <w:rFonts w:hint="eastAsia" w:cs="宋体" w:asciiTheme="minorEastAsia" w:hAnsiTheme="minorEastAsia" w:eastAsiaTheme="minorEastAsia"/>
          <w:sz w:val="24"/>
          <w:szCs w:val="24"/>
          <w:shd w:val="clear" w:color="auto" w:fill="FFFFFF"/>
          <w:lang w:val="en-US" w:eastAsia="zh-CN"/>
        </w:rPr>
        <w:t>股权。</w:t>
      </w:r>
    </w:p>
    <w:p>
      <w:pPr>
        <w:pStyle w:val="8"/>
        <w:spacing w:line="360" w:lineRule="auto"/>
        <w:ind w:firstLine="44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、评估范围：江苏苏锡常南部高速公路有限公司申报的在评估基准日经审计的全部资产及负债，包括流动资产、固定资产、无形资产、流动负债、非流动负债。</w:t>
      </w:r>
    </w:p>
    <w:p>
      <w:pPr>
        <w:pStyle w:val="8"/>
        <w:spacing w:line="360" w:lineRule="auto"/>
        <w:ind w:firstLine="48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3</w:t>
      </w:r>
      <w:r>
        <w:rPr>
          <w:rFonts w:hint="eastAsia" w:cs="宋体" w:asciiTheme="minorEastAsia" w:hAnsiTheme="minorEastAsia" w:eastAsiaTheme="minorEastAsia"/>
          <w:sz w:val="24"/>
          <w:szCs w:val="24"/>
          <w:shd w:val="clear" w:color="auto" w:fill="FFFFFF"/>
          <w:lang w:val="en-US" w:eastAsia="zh-CN"/>
        </w:rPr>
        <w:t>、评估基准日：</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w:t>
      </w:r>
    </w:p>
    <w:p>
      <w:pPr>
        <w:pStyle w:val="8"/>
        <w:spacing w:line="360" w:lineRule="auto"/>
        <w:ind w:firstLine="48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4</w:t>
      </w:r>
      <w:r>
        <w:rPr>
          <w:rFonts w:hint="eastAsia" w:cs="宋体" w:asciiTheme="minorEastAsia" w:hAnsiTheme="minorEastAsia" w:eastAsiaTheme="minorEastAsia"/>
          <w:sz w:val="24"/>
          <w:szCs w:val="24"/>
          <w:shd w:val="clear" w:color="auto" w:fill="FFFFFF"/>
          <w:lang w:val="en-US" w:eastAsia="zh-CN"/>
        </w:rPr>
        <w:t>、评估方法：本次评估选用收益法和市场法进行评估，并选择收益法方法确定的评估结果作为最终评估结论。</w:t>
      </w:r>
    </w:p>
    <w:p>
      <w:pPr>
        <w:pStyle w:val="8"/>
        <w:spacing w:line="360" w:lineRule="auto"/>
        <w:ind w:firstLine="44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5</w:t>
      </w:r>
      <w:r>
        <w:rPr>
          <w:rFonts w:hint="eastAsia" w:cs="宋体" w:asciiTheme="minorEastAsia" w:hAnsiTheme="minorEastAsia" w:eastAsiaTheme="minorEastAsia"/>
          <w:sz w:val="24"/>
          <w:szCs w:val="24"/>
          <w:shd w:val="clear" w:color="auto" w:fill="FFFFFF"/>
          <w:lang w:val="en-US" w:eastAsia="zh-CN"/>
        </w:rPr>
        <w:t>、评估结论：截至评估基准日</w:t>
      </w:r>
      <w:r>
        <w:rPr>
          <w:rFonts w:cs="宋体" w:asciiTheme="minorEastAsia" w:hAnsiTheme="minorEastAsia" w:eastAsiaTheme="minorEastAsia"/>
          <w:sz w:val="24"/>
          <w:szCs w:val="24"/>
          <w:shd w:val="clear" w:color="auto" w:fill="FFFFFF"/>
          <w:lang w:val="en-US" w:eastAsia="zh-CN"/>
        </w:rPr>
        <w:t xml:space="preserve"> 2023 </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日，在评估假设和限制条件前提下江苏交通控股有限公司持有的江苏苏锡常南部高速公路有限公司</w:t>
      </w:r>
      <w:r>
        <w:rPr>
          <w:rFonts w:cs="宋体" w:asciiTheme="minorEastAsia" w:hAnsiTheme="minorEastAsia" w:eastAsiaTheme="minorEastAsia"/>
          <w:sz w:val="24"/>
          <w:szCs w:val="24"/>
          <w:shd w:val="clear" w:color="auto" w:fill="FFFFFF"/>
          <w:lang w:val="en-US" w:eastAsia="zh-CN"/>
        </w:rPr>
        <w:t>65%</w:t>
      </w:r>
      <w:r>
        <w:rPr>
          <w:rFonts w:hint="eastAsia" w:cs="宋体" w:asciiTheme="minorEastAsia" w:hAnsiTheme="minorEastAsia" w:eastAsiaTheme="minorEastAsia"/>
          <w:sz w:val="24"/>
          <w:szCs w:val="24"/>
          <w:shd w:val="clear" w:color="auto" w:fill="FFFFFF"/>
          <w:lang w:val="en-US" w:eastAsia="zh-CN"/>
        </w:rPr>
        <w:t>股权的市场价值为</w:t>
      </w:r>
      <w:r>
        <w:rPr>
          <w:rFonts w:cs="宋体" w:asciiTheme="minorEastAsia" w:hAnsiTheme="minorEastAsia" w:eastAsiaTheme="minorEastAsia"/>
          <w:sz w:val="24"/>
          <w:szCs w:val="24"/>
          <w:shd w:val="clear" w:color="auto" w:fill="FFFFFF"/>
          <w:lang w:val="en-US" w:eastAsia="zh-CN"/>
        </w:rPr>
        <w:t>520.065.00</w:t>
      </w:r>
      <w:r>
        <w:rPr>
          <w:rFonts w:hint="eastAsia" w:cs="宋体" w:asciiTheme="minorEastAsia" w:hAnsiTheme="minorEastAsia" w:eastAsiaTheme="minorEastAsia"/>
          <w:sz w:val="24"/>
          <w:szCs w:val="24"/>
          <w:shd w:val="clear" w:color="auto" w:fill="FFFFFF"/>
          <w:lang w:val="en-US" w:eastAsia="zh-CN"/>
        </w:rPr>
        <w:t>万元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人民币伍拾贰亿零陆拾伍万元整</w:t>
      </w:r>
      <w:r>
        <w:rPr>
          <w:rFonts w:cs="宋体" w:asciiTheme="minorEastAsia" w:hAnsiTheme="minorEastAsia" w:eastAsiaTheme="minorEastAsia"/>
          <w:sz w:val="24"/>
          <w:szCs w:val="24"/>
          <w:shd w:val="clear" w:color="auto" w:fill="FFFFFF"/>
          <w:lang w:val="en-US" w:eastAsia="zh-CN"/>
        </w:rPr>
        <w:t>)</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本公司同时委任</w:t>
      </w:r>
      <w:r>
        <w:rPr>
          <w:rFonts w:cs="宋体" w:asciiTheme="minorEastAsia" w:hAnsiTheme="minorEastAsia" w:eastAsiaTheme="minorEastAsia"/>
          <w:sz w:val="24"/>
          <w:szCs w:val="24"/>
          <w:shd w:val="clear" w:color="auto" w:fill="FFFFFF"/>
          <w:lang w:val="en-US" w:eastAsia="zh-CN"/>
        </w:rPr>
        <w:t>Kroll (HK)Limited</w:t>
      </w:r>
      <w:r>
        <w:rPr>
          <w:rFonts w:hint="eastAsia" w:cs="宋体" w:asciiTheme="minorEastAsia" w:hAnsiTheme="minorEastAsia" w:eastAsiaTheme="minorEastAsia"/>
          <w:sz w:val="24"/>
          <w:szCs w:val="24"/>
          <w:shd w:val="clear" w:color="auto" w:fill="FFFFFF"/>
          <w:lang w:val="en-US" w:eastAsia="zh-CN"/>
        </w:rPr>
        <w:t>（以下简称“估值顾问”）对目标股权按照国际标准和要求（以下简称“评估报告”），估值顾问初步评估目标公司截至评估基准日的公允值为人民币</w:t>
      </w:r>
      <w:r>
        <w:rPr>
          <w:rFonts w:cs="宋体" w:asciiTheme="minorEastAsia" w:hAnsiTheme="minorEastAsia" w:eastAsiaTheme="minorEastAsia"/>
          <w:sz w:val="24"/>
          <w:szCs w:val="24"/>
          <w:shd w:val="clear" w:color="auto" w:fill="FFFFFF"/>
          <w:lang w:val="en-US" w:eastAsia="zh-CN"/>
        </w:rPr>
        <w:t>81.3</w:t>
      </w:r>
      <w:r>
        <w:rPr>
          <w:rFonts w:hint="eastAsia" w:cs="宋体" w:asciiTheme="minorEastAsia" w:hAnsiTheme="minorEastAsia" w:eastAsiaTheme="minorEastAsia"/>
          <w:sz w:val="24"/>
          <w:szCs w:val="24"/>
          <w:shd w:val="clear" w:color="auto" w:fill="FFFFFF"/>
          <w:lang w:val="en-US" w:eastAsia="zh-CN"/>
        </w:rPr>
        <w:t>亿元。因此，目标股权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目标公司</w:t>
      </w:r>
      <w:r>
        <w:rPr>
          <w:rFonts w:cs="宋体" w:asciiTheme="minorEastAsia" w:hAnsiTheme="minorEastAsia" w:eastAsiaTheme="minorEastAsia"/>
          <w:sz w:val="24"/>
          <w:szCs w:val="24"/>
          <w:shd w:val="clear" w:color="auto" w:fill="FFFFFF"/>
          <w:lang w:val="en-US" w:eastAsia="zh-CN"/>
        </w:rPr>
        <w:t>65%</w:t>
      </w:r>
      <w:r>
        <w:rPr>
          <w:rFonts w:hint="eastAsia" w:cs="宋体" w:asciiTheme="minorEastAsia" w:hAnsiTheme="minorEastAsia" w:eastAsiaTheme="minorEastAsia"/>
          <w:sz w:val="24"/>
          <w:szCs w:val="24"/>
          <w:shd w:val="clear" w:color="auto" w:fill="FFFFFF"/>
          <w:lang w:val="en-US" w:eastAsia="zh-CN"/>
        </w:rPr>
        <w:t>股权</w:t>
      </w:r>
      <w:r>
        <w:rPr>
          <w:rFonts w:cs="宋体" w:asciiTheme="minorEastAsia" w:hAnsiTheme="minorEastAsia" w:eastAsiaTheme="minorEastAsia"/>
          <w:sz w:val="24"/>
          <w:szCs w:val="24"/>
          <w:shd w:val="clear" w:color="auto" w:fill="FFFFFF"/>
          <w:lang w:val="en-US" w:eastAsia="zh-CN"/>
        </w:rPr>
        <w:t xml:space="preserve">) </w:t>
      </w:r>
      <w:r>
        <w:rPr>
          <w:rFonts w:hint="eastAsia" w:cs="宋体" w:asciiTheme="minorEastAsia" w:hAnsiTheme="minorEastAsia" w:eastAsiaTheme="minorEastAsia"/>
          <w:sz w:val="24"/>
          <w:szCs w:val="24"/>
          <w:shd w:val="clear" w:color="auto" w:fill="FFFFFF"/>
          <w:lang w:val="en-US" w:eastAsia="zh-CN"/>
        </w:rPr>
        <w:t>公允值为人民币</w:t>
      </w:r>
      <w:r>
        <w:rPr>
          <w:rFonts w:cs="宋体" w:asciiTheme="minorEastAsia" w:hAnsiTheme="minorEastAsia" w:eastAsiaTheme="minorEastAsia"/>
          <w:sz w:val="24"/>
          <w:szCs w:val="24"/>
          <w:shd w:val="clear" w:color="auto" w:fill="FFFFFF"/>
          <w:lang w:val="en-US" w:eastAsia="zh-CN"/>
        </w:rPr>
        <w:t>52.845</w:t>
      </w:r>
      <w:r>
        <w:rPr>
          <w:rFonts w:hint="eastAsia" w:cs="宋体" w:asciiTheme="minorEastAsia" w:hAnsiTheme="minorEastAsia" w:eastAsiaTheme="minorEastAsia"/>
          <w:sz w:val="24"/>
          <w:szCs w:val="24"/>
          <w:shd w:val="clear" w:color="auto" w:fill="FFFFFF"/>
          <w:lang w:val="en-US" w:eastAsia="zh-CN"/>
        </w:rPr>
        <w:t>亿元，比评估报告的评估值略高。评估报告将载于寄发予</w:t>
      </w:r>
      <w:r>
        <w:rPr>
          <w:rFonts w:cs="宋体" w:asciiTheme="minorEastAsia" w:hAnsiTheme="minorEastAsia" w:eastAsiaTheme="minorEastAsia"/>
          <w:sz w:val="24"/>
          <w:szCs w:val="24"/>
          <w:shd w:val="clear" w:color="auto" w:fill="FFFFFF"/>
          <w:lang w:val="en-US" w:eastAsia="zh-CN"/>
        </w:rPr>
        <w:t>H</w:t>
      </w:r>
      <w:r>
        <w:rPr>
          <w:rFonts w:hint="eastAsia" w:cs="宋体" w:asciiTheme="minorEastAsia" w:hAnsiTheme="minorEastAsia" w:eastAsiaTheme="minorEastAsia"/>
          <w:sz w:val="24"/>
          <w:szCs w:val="24"/>
          <w:shd w:val="clear" w:color="auto" w:fill="FFFFFF"/>
          <w:lang w:val="en-US" w:eastAsia="zh-CN"/>
        </w:rPr>
        <w:t>股股东的通函中。</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本次交易采用北京华亚正信资产评估有限公司出具的《江苏交通控股有限公司、无锡市交通产业集团有限公司和常州高速公路投资发展有限公司拟转让各自持有的江苏苏锡常南部高速公路有限公司</w:t>
      </w:r>
      <w:r>
        <w:rPr>
          <w:rFonts w:cs="宋体" w:asciiTheme="minorEastAsia" w:hAnsiTheme="minorEastAsia" w:eastAsiaTheme="minorEastAsia"/>
          <w:sz w:val="24"/>
          <w:szCs w:val="24"/>
          <w:shd w:val="clear" w:color="auto" w:fill="FFFFFF"/>
          <w:lang w:val="en-US" w:eastAsia="zh-CN"/>
        </w:rPr>
        <w:t>65%</w:t>
      </w:r>
      <w:r>
        <w:rPr>
          <w:rFonts w:hint="eastAsia" w:cs="宋体" w:asciiTheme="minorEastAsia" w:hAnsiTheme="minorEastAsia" w:eastAsiaTheme="minorEastAsia"/>
          <w:sz w:val="24"/>
          <w:szCs w:val="24"/>
          <w:shd w:val="clear" w:color="auto" w:fill="FFFFFF"/>
          <w:lang w:val="en-US" w:eastAsia="zh-CN"/>
        </w:rPr>
        <w:t>股权、</w:t>
      </w:r>
      <w:r>
        <w:rPr>
          <w:rFonts w:cs="宋体" w:asciiTheme="minorEastAsia" w:hAnsiTheme="minorEastAsia" w:eastAsiaTheme="minorEastAsia"/>
          <w:sz w:val="24"/>
          <w:szCs w:val="24"/>
          <w:shd w:val="clear" w:color="auto" w:fill="FFFFFF"/>
          <w:lang w:val="en-US" w:eastAsia="zh-CN"/>
        </w:rPr>
        <w:t>22.8%</w:t>
      </w:r>
      <w:r>
        <w:rPr>
          <w:rFonts w:hint="eastAsia" w:cs="宋体" w:asciiTheme="minorEastAsia" w:hAnsiTheme="minorEastAsia" w:eastAsiaTheme="minorEastAsia"/>
          <w:sz w:val="24"/>
          <w:szCs w:val="24"/>
          <w:shd w:val="clear" w:color="auto" w:fill="FFFFFF"/>
          <w:lang w:val="en-US" w:eastAsia="zh-CN"/>
        </w:rPr>
        <w:t>股权和</w:t>
      </w:r>
      <w:r>
        <w:rPr>
          <w:rFonts w:cs="宋体" w:asciiTheme="minorEastAsia" w:hAnsiTheme="minorEastAsia" w:eastAsiaTheme="minorEastAsia"/>
          <w:sz w:val="24"/>
          <w:szCs w:val="24"/>
          <w:shd w:val="clear" w:color="auto" w:fill="FFFFFF"/>
          <w:lang w:val="en-US" w:eastAsia="zh-CN"/>
        </w:rPr>
        <w:t>12.2%</w:t>
      </w:r>
      <w:r>
        <w:rPr>
          <w:rFonts w:hint="eastAsia" w:cs="宋体" w:asciiTheme="minorEastAsia" w:hAnsiTheme="minorEastAsia" w:eastAsiaTheme="minorEastAsia"/>
          <w:sz w:val="24"/>
          <w:szCs w:val="24"/>
          <w:shd w:val="clear" w:color="auto" w:fill="FFFFFF"/>
          <w:lang w:val="en-US" w:eastAsia="zh-CN"/>
        </w:rPr>
        <w:t>股权涉及的该公司</w:t>
      </w:r>
      <w:r>
        <w:rPr>
          <w:rFonts w:cs="宋体" w:asciiTheme="minorEastAsia" w:hAnsiTheme="minorEastAsia" w:eastAsiaTheme="minorEastAsia"/>
          <w:sz w:val="24"/>
          <w:szCs w:val="24"/>
          <w:shd w:val="clear" w:color="auto" w:fill="FFFFFF"/>
          <w:lang w:val="en-US" w:eastAsia="zh-CN"/>
        </w:rPr>
        <w:t>100%</w:t>
      </w:r>
      <w:r>
        <w:rPr>
          <w:rFonts w:hint="eastAsia" w:cs="宋体" w:asciiTheme="minorEastAsia" w:hAnsiTheme="minorEastAsia" w:eastAsiaTheme="minorEastAsia"/>
          <w:sz w:val="24"/>
          <w:szCs w:val="24"/>
          <w:shd w:val="clear" w:color="auto" w:fill="FFFFFF"/>
          <w:lang w:val="en-US" w:eastAsia="zh-CN"/>
        </w:rPr>
        <w:t>股权价值项目资产评估报告》（华亚正信评报字</w:t>
      </w:r>
      <w:r>
        <w:rPr>
          <w:rFonts w:cs="宋体" w:asciiTheme="minorEastAsia" w:hAnsiTheme="minorEastAsia" w:eastAsiaTheme="minorEastAsia"/>
          <w:sz w:val="24"/>
          <w:szCs w:val="24"/>
          <w:shd w:val="clear" w:color="auto" w:fill="FFFFFF"/>
          <w:lang w:val="en-US" w:eastAsia="zh-CN"/>
        </w:rPr>
        <w:t>[2024]</w:t>
      </w:r>
      <w:r>
        <w:rPr>
          <w:rFonts w:hint="eastAsia" w:cs="宋体" w:asciiTheme="minorEastAsia" w:hAnsiTheme="minorEastAsia" w:eastAsiaTheme="minorEastAsia"/>
          <w:sz w:val="24"/>
          <w:szCs w:val="24"/>
          <w:shd w:val="clear" w:color="auto" w:fill="FFFFFF"/>
          <w:lang w:val="en-US" w:eastAsia="zh-CN"/>
        </w:rPr>
        <w:t>第</w:t>
      </w:r>
      <w:r>
        <w:rPr>
          <w:rFonts w:cs="宋体" w:asciiTheme="minorEastAsia" w:hAnsiTheme="minorEastAsia" w:eastAsiaTheme="minorEastAsia"/>
          <w:sz w:val="24"/>
          <w:szCs w:val="24"/>
          <w:shd w:val="clear" w:color="auto" w:fill="FFFFFF"/>
          <w:lang w:val="en-US" w:eastAsia="zh-CN"/>
        </w:rPr>
        <w:t>B12-0007</w:t>
      </w:r>
      <w:r>
        <w:rPr>
          <w:rFonts w:hint="eastAsia" w:cs="宋体" w:asciiTheme="minorEastAsia" w:hAnsiTheme="minorEastAsia" w:eastAsiaTheme="minorEastAsia"/>
          <w:sz w:val="24"/>
          <w:szCs w:val="24"/>
          <w:shd w:val="clear" w:color="auto" w:fill="FFFFFF"/>
          <w:lang w:val="en-US" w:eastAsia="zh-CN"/>
        </w:rPr>
        <w:t>号），以</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日为评估基准日的收益法评估结果作为基础确定。经评估，人民币</w:t>
      </w:r>
      <w:r>
        <w:rPr>
          <w:rFonts w:cs="宋体" w:asciiTheme="minorEastAsia" w:hAnsiTheme="minorEastAsia" w:eastAsiaTheme="minorEastAsia"/>
          <w:sz w:val="24"/>
          <w:szCs w:val="24"/>
          <w:shd w:val="clear" w:color="auto" w:fill="FFFFFF"/>
          <w:lang w:val="en-US" w:eastAsia="zh-CN"/>
        </w:rPr>
        <w:t>8,001,000,000</w:t>
      </w:r>
      <w:r>
        <w:rPr>
          <w:rFonts w:hint="eastAsia" w:cs="宋体" w:asciiTheme="minorEastAsia" w:hAnsiTheme="minorEastAsia" w:eastAsiaTheme="minorEastAsia"/>
          <w:sz w:val="24"/>
          <w:szCs w:val="24"/>
          <w:shd w:val="clear" w:color="auto" w:fill="FFFFFF"/>
          <w:lang w:val="en-US" w:eastAsia="zh-CN"/>
        </w:rPr>
        <w:t>元，与账面值相比的溢价为人民币</w:t>
      </w:r>
      <w:r>
        <w:rPr>
          <w:rFonts w:cs="宋体" w:asciiTheme="minorEastAsia" w:hAnsiTheme="minorEastAsia" w:eastAsiaTheme="minorEastAsia"/>
          <w:sz w:val="24"/>
          <w:szCs w:val="24"/>
          <w:shd w:val="clear" w:color="auto" w:fill="FFFFFF"/>
          <w:lang w:val="en-US" w:eastAsia="zh-CN"/>
        </w:rPr>
        <w:t>537,970,000</w:t>
      </w:r>
      <w:r>
        <w:rPr>
          <w:rFonts w:hint="eastAsia" w:cs="宋体" w:asciiTheme="minorEastAsia" w:hAnsiTheme="minorEastAsia" w:eastAsiaTheme="minorEastAsia"/>
          <w:sz w:val="24"/>
          <w:szCs w:val="24"/>
          <w:shd w:val="clear" w:color="auto" w:fill="FFFFFF"/>
          <w:lang w:val="en-US" w:eastAsia="zh-CN"/>
        </w:rPr>
        <w:t>元，增值约</w:t>
      </w:r>
      <w:r>
        <w:rPr>
          <w:rFonts w:cs="宋体" w:asciiTheme="minorEastAsia" w:hAnsiTheme="minorEastAsia" w:eastAsiaTheme="minorEastAsia"/>
          <w:sz w:val="24"/>
          <w:szCs w:val="24"/>
          <w:shd w:val="clear" w:color="auto" w:fill="FFFFFF"/>
          <w:lang w:val="en-US" w:eastAsia="zh-CN"/>
        </w:rPr>
        <w:t>7.2%</w:t>
      </w:r>
      <w:r>
        <w:rPr>
          <w:rFonts w:hint="eastAsia" w:cs="宋体" w:asciiTheme="minorEastAsia" w:hAnsiTheme="minorEastAsia" w:eastAsiaTheme="minorEastAsia"/>
          <w:sz w:val="24"/>
          <w:szCs w:val="24"/>
          <w:shd w:val="clear" w:color="auto" w:fill="FFFFFF"/>
          <w:lang w:val="en-US" w:eastAsia="zh-CN"/>
        </w:rPr>
        <w:t>。如前述评估结果获得核准或备案，则买方与卖方一致同意以前述评估结果作为本次目标股权的交易价格。如核准或备案的评估结果和前述评估结果不一致，由买方与卖方根据核准或备案的评估结果协商确定本次股权交易价格，如买方与卖方无法协商一致，买卖双方均可终止交易，且无需向对方承担任何违约责任。</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6、重要评估假设和评估参数:</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（1）一般假设</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1.交易假设：是假定所有待评估资产已经处在交易过程中，资产评估师根据待评估资产的交易条件等模拟市场进行估价；</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2．公开市场假设：是指资产可以在充分竞争的市场上自由买卖，其价格高低取决于一定市场的供给状况下独立的买卖双方对资产的价值判断。公开市场是指一个有众多买者和卖者的充分竞争的市场。在这个市场上，买者和卖者的地位是平等的，彼此都有获得足够市场信息的机会和时间，买卖双方的交易行为都是在自愿的、理智的，而非强制或不受限制的条件下进行的；</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3．假设国家现行的有关法律法规及政策、国家宏观经济形势无重大变化，本次交易各方所处地区的政治、经济和社会环境无重大变化；</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4．针对评估基准日资产的实际状况，假设苏锡常南部高速公司持续经营；</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5．假设和苏锡常南部高速公司（作为被评估单位）相关的赋税基准及税率、政策性征收费用等评估基准日后不发生重大变化；</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6．假设评估基准日后苏锡常南部高速公司的管理层是负责的、稳定的，且有能力担当其职务；</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7．假设苏锡常南部高速公司完全遵守所有相关的法律法规；</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8．假设评估基准日后无不可抗力及不可预见因素对苏锡常南部高速公司造成重大不利影响。</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（二）特殊假设</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1．假设评估基准日后苏锡常南部高速公司采用的会计政策和编写本评估报告时所采用的会计政策在重要方面保持一致；</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2．假设评估基准日后苏锡常南部高速公司在现有管理方式和管理水平的基础上，经营范围、方式与目前保持一致；</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3．假设评估基准日后苏锡常南部高速公司的现金流入、流出为年中；</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4．假设委托人、苏锡常南部高速公司提供的与本次评估相关全部数据真实、完整、合法、有效；</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5．本次假设苏锡常南部高速公司高速公路收费年限到期后，高速公路及附属设施等相关资产全部无偿移交国家；</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6．假设苏锡常南部高速公司按现有借款计划、还款计划取得和归还借款。</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评估报告参照了由江苏纬信工程咨询有限公司出具的《苏锡常南部高速公路交通量、通行费收入及运营养护成本预测》，该交通流量预测的主要假设如下：</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1.考虑过有关区域历史年区域GDP增长以及客货车弹性系数（即交通量增长与经济增长之间的相关性系数）情况。其中，GDP增长依据江苏地区及周边经济规划及发展趋势，总体保持稳中有降；同样，随着经济发展阶段的变化，相关区域的客货车弹性系数预测值在预测期限内均有所下降。两者原因共同导致区域路网总体流量增长速度从高向低发展。</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2.本次预测亦包括道路通行能力分析。通行能力的计算主要依据2014年中国交通部颁布的《公路工程技术标准》（JTGB01-2014），公路服务水平划分为一、二、三、四、五、六级。经测算，苏锡常南部高速的日通行能力约为15万辆/日。</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3.本次预测交通量车型的变化。从江苏省及全国各地高速公路车型的发展经验看，客车的增长速度普遍高于货车，路网中客车比例不断增加。</w:t>
      </w:r>
    </w:p>
    <w:p>
      <w:pPr>
        <w:pStyle w:val="8"/>
        <w:keepNext w:val="0"/>
        <w:keepLines w:val="0"/>
        <w:pageBreakBefore w:val="0"/>
        <w:widowControl/>
        <w:kinsoku/>
        <w:wordWrap/>
        <w:overflowPunct/>
        <w:topLinePunct w:val="0"/>
        <w:autoSpaceDE/>
        <w:autoSpaceDN/>
        <w:bidi w:val="0"/>
        <w:adjustRightInd/>
        <w:snapToGrid/>
        <w:spacing w:line="360" w:lineRule="auto"/>
        <w:ind w:firstLine="44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近年来苏南地区地方城市道路拥堵日益加剧，高速公路也成为区域通勤交通的选择之一，短距离出行的客1车辆（即座位数少于9的客车）显着增加；另一方面，随着国家高速铁路及地方城际铁路的建设，大客车（即座位多于30以上的）城际功能逐渐减弱。因此，客1车辆占所有客车车型的比例也会同步提升。</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货车方面，大型货车的单位重量的运输成本更低，在高效的运输组织模式下，大型货车（六轴）的发展势头良好；另一方面，小型货车（二轴）的机动性较好，能够较好的适应目前的经济发展节奏，快递运输对小型货车的发展也有较大的促进作用。因此，未来估计货车车型比例方面，将保持两头发展、中间下降的发展态势。</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4.</w:t>
      </w:r>
      <w:r>
        <w:rPr>
          <w:rFonts w:hint="eastAsia" w:cs="宋体" w:asciiTheme="minorEastAsia" w:hAnsiTheme="minorEastAsia" w:eastAsiaTheme="minorEastAsia"/>
          <w:sz w:val="24"/>
          <w:szCs w:val="24"/>
          <w:shd w:val="clear" w:color="auto" w:fill="FFFFFF"/>
          <w:lang w:val="en-US" w:eastAsia="zh-CN"/>
        </w:rPr>
        <w:t>是次分析采用交通阻抗函数进行路网流量分配，交通阻抗函数反映驾驶员在路径选择过程中考虑的路阻因素，通常情况下，包括所选路径的实际行驶时间、线路的长度和收费等，这些路阻因素的重要度通过权重系数来反映，行驶时间和路线长度通过时间价值和车辆运营成本转换为费用。有关的分析模型中的参数采用本公司在类似项目中获取的经验，及国内广泛应用的数值作计算。</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5.</w:t>
      </w:r>
      <w:r>
        <w:rPr>
          <w:rFonts w:hint="eastAsia" w:cs="宋体" w:asciiTheme="minorEastAsia" w:hAnsiTheme="minorEastAsia" w:eastAsiaTheme="minorEastAsia"/>
          <w:sz w:val="24"/>
          <w:szCs w:val="24"/>
          <w:shd w:val="clear" w:color="auto" w:fill="FFFFFF"/>
          <w:lang w:val="en-US" w:eastAsia="zh-CN"/>
        </w:rPr>
        <w:t>收费期限方面，预测中假定在预测期限内，所有高速公路均维持现有收费状态。</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6.</w:t>
      </w:r>
      <w:r>
        <w:rPr>
          <w:rFonts w:hint="eastAsia" w:cs="宋体" w:asciiTheme="minorEastAsia" w:hAnsiTheme="minorEastAsia" w:eastAsiaTheme="minorEastAsia"/>
          <w:sz w:val="24"/>
          <w:szCs w:val="24"/>
          <w:shd w:val="clear" w:color="auto" w:fill="FFFFFF"/>
          <w:lang w:val="en-US" w:eastAsia="zh-CN"/>
        </w:rPr>
        <w:t>本次评估中对收费标准假定如下：</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）已建成投入运营的高速公路，维持既有批复的收费标准不变。</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）预计</w:t>
      </w:r>
      <w:r>
        <w:rPr>
          <w:rFonts w:cs="宋体" w:asciiTheme="minorEastAsia" w:hAnsiTheme="minorEastAsia" w:eastAsiaTheme="minorEastAsia"/>
          <w:sz w:val="24"/>
          <w:szCs w:val="24"/>
          <w:shd w:val="clear" w:color="auto" w:fill="FFFFFF"/>
          <w:lang w:val="en-US" w:eastAsia="zh-CN"/>
        </w:rPr>
        <w:t>2025</w:t>
      </w:r>
      <w:r>
        <w:rPr>
          <w:rFonts w:hint="eastAsia" w:cs="宋体" w:asciiTheme="minorEastAsia" w:hAnsiTheme="minorEastAsia" w:eastAsiaTheme="minorEastAsia"/>
          <w:sz w:val="24"/>
          <w:szCs w:val="24"/>
          <w:shd w:val="clear" w:color="auto" w:fill="FFFFFF"/>
          <w:lang w:val="en-US" w:eastAsia="zh-CN"/>
        </w:rPr>
        <w:t>年前建成投入运营的高速公路。改扩建项目及新建桥隧项目参照</w:t>
      </w:r>
      <w:r>
        <w:rPr>
          <w:rFonts w:cs="宋体" w:asciiTheme="minorEastAsia" w:hAnsiTheme="minorEastAsia" w:eastAsiaTheme="minorEastAsia"/>
          <w:sz w:val="24"/>
          <w:szCs w:val="24"/>
          <w:shd w:val="clear" w:color="auto" w:fill="FFFFFF"/>
          <w:lang w:val="en-US" w:eastAsia="zh-CN"/>
        </w:rPr>
        <w:t>2021</w:t>
      </w:r>
      <w:r>
        <w:rPr>
          <w:rFonts w:hint="eastAsia" w:cs="宋体" w:asciiTheme="minorEastAsia" w:hAnsiTheme="minorEastAsia" w:eastAsiaTheme="minorEastAsia"/>
          <w:sz w:val="24"/>
          <w:szCs w:val="24"/>
          <w:shd w:val="clear" w:color="auto" w:fill="FFFFFF"/>
          <w:lang w:val="en-US" w:eastAsia="zh-CN"/>
        </w:rPr>
        <w:t>年江苏省交通厅、发改委、财政厅联合印发的《江苏省高速公路收费定价机制》；其他新建的一般项目的客、货基本费率按照</w:t>
      </w:r>
      <w:r>
        <w:rPr>
          <w:rFonts w:cs="宋体" w:asciiTheme="minorEastAsia" w:hAnsiTheme="minorEastAsia" w:eastAsiaTheme="minorEastAsia"/>
          <w:sz w:val="24"/>
          <w:szCs w:val="24"/>
          <w:shd w:val="clear" w:color="auto" w:fill="FFFFFF"/>
          <w:lang w:val="en-US" w:eastAsia="zh-CN"/>
        </w:rPr>
        <w:t>0.55</w:t>
      </w: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0.45</w:t>
      </w:r>
      <w:r>
        <w:rPr>
          <w:rFonts w:hint="eastAsia" w:cs="宋体" w:asciiTheme="minorEastAsia" w:hAnsiTheme="minorEastAsia" w:eastAsiaTheme="minorEastAsia"/>
          <w:sz w:val="24"/>
          <w:szCs w:val="24"/>
          <w:shd w:val="clear" w:color="auto" w:fill="FFFFFF"/>
          <w:lang w:val="en-US" w:eastAsia="zh-CN"/>
        </w:rPr>
        <w:t>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公里。</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3</w:t>
      </w:r>
      <w:r>
        <w:rPr>
          <w:rFonts w:hint="eastAsia" w:cs="宋体" w:asciiTheme="minorEastAsia" w:hAnsiTheme="minorEastAsia" w:eastAsiaTheme="minorEastAsia"/>
          <w:sz w:val="24"/>
          <w:szCs w:val="24"/>
          <w:shd w:val="clear" w:color="auto" w:fill="FFFFFF"/>
          <w:lang w:val="en-US" w:eastAsia="zh-CN"/>
        </w:rPr>
        <w:t>）预计</w:t>
      </w:r>
      <w:r>
        <w:rPr>
          <w:rFonts w:cs="宋体" w:asciiTheme="minorEastAsia" w:hAnsiTheme="minorEastAsia" w:eastAsiaTheme="minorEastAsia"/>
          <w:sz w:val="24"/>
          <w:szCs w:val="24"/>
          <w:shd w:val="clear" w:color="auto" w:fill="FFFFFF"/>
          <w:lang w:val="en-US" w:eastAsia="zh-CN"/>
        </w:rPr>
        <w:t>2030</w:t>
      </w:r>
      <w:r>
        <w:rPr>
          <w:rFonts w:hint="eastAsia" w:cs="宋体" w:asciiTheme="minorEastAsia" w:hAnsiTheme="minorEastAsia" w:eastAsiaTheme="minorEastAsia"/>
          <w:sz w:val="24"/>
          <w:szCs w:val="24"/>
          <w:shd w:val="clear" w:color="auto" w:fill="FFFFFF"/>
          <w:lang w:val="en-US" w:eastAsia="zh-CN"/>
        </w:rPr>
        <w:t>年前建成投入运营的高速公路。与苏锡常南部高速相关的锡太高速以及沿江高速改扩建项目在通车后，因工程造价较高，客、货车基本费率均上调至</w:t>
      </w:r>
      <w:r>
        <w:rPr>
          <w:rFonts w:cs="宋体" w:asciiTheme="minorEastAsia" w:hAnsiTheme="minorEastAsia" w:eastAsiaTheme="minorEastAsia"/>
          <w:sz w:val="24"/>
          <w:szCs w:val="24"/>
          <w:shd w:val="clear" w:color="auto" w:fill="FFFFFF"/>
          <w:lang w:val="en-US" w:eastAsia="zh-CN"/>
        </w:rPr>
        <w:t>0.65</w:t>
      </w: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0.55</w:t>
      </w:r>
      <w:r>
        <w:rPr>
          <w:rFonts w:hint="eastAsia" w:cs="宋体" w:asciiTheme="minorEastAsia" w:hAnsiTheme="minorEastAsia" w:eastAsiaTheme="minorEastAsia"/>
          <w:sz w:val="24"/>
          <w:szCs w:val="24"/>
          <w:shd w:val="clear" w:color="auto" w:fill="FFFFFF"/>
          <w:lang w:val="en-US" w:eastAsia="zh-CN"/>
        </w:rPr>
        <w:t>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公里，其他在</w:t>
      </w:r>
      <w:r>
        <w:rPr>
          <w:rFonts w:cs="宋体" w:asciiTheme="minorEastAsia" w:hAnsiTheme="minorEastAsia" w:eastAsiaTheme="minorEastAsia"/>
          <w:sz w:val="24"/>
          <w:szCs w:val="24"/>
          <w:shd w:val="clear" w:color="auto" w:fill="FFFFFF"/>
          <w:lang w:val="en-US" w:eastAsia="zh-CN"/>
        </w:rPr>
        <w:t>2030</w:t>
      </w:r>
      <w:r>
        <w:rPr>
          <w:rFonts w:hint="eastAsia" w:cs="宋体" w:asciiTheme="minorEastAsia" w:hAnsiTheme="minorEastAsia" w:eastAsiaTheme="minorEastAsia"/>
          <w:sz w:val="24"/>
          <w:szCs w:val="24"/>
          <w:shd w:val="clear" w:color="auto" w:fill="FFFFFF"/>
          <w:lang w:val="en-US" w:eastAsia="zh-CN"/>
        </w:rPr>
        <w:t>年底前建成投入运营的项目与苏锡常南部高速关联较小且造价尚不明确，假定按照（</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）中的基本费率。</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4</w:t>
      </w:r>
      <w:r>
        <w:rPr>
          <w:rFonts w:hint="eastAsia" w:cs="宋体" w:asciiTheme="minorEastAsia" w:hAnsiTheme="minorEastAsia" w:eastAsiaTheme="minorEastAsia"/>
          <w:sz w:val="24"/>
          <w:szCs w:val="24"/>
          <w:shd w:val="clear" w:color="auto" w:fill="FFFFFF"/>
          <w:lang w:val="en-US" w:eastAsia="zh-CN"/>
        </w:rPr>
        <w:t>）其他高速公路项目。</w:t>
      </w:r>
      <w:r>
        <w:rPr>
          <w:rFonts w:cs="宋体" w:asciiTheme="minorEastAsia" w:hAnsiTheme="minorEastAsia" w:eastAsiaTheme="minorEastAsia"/>
          <w:sz w:val="24"/>
          <w:szCs w:val="24"/>
          <w:shd w:val="clear" w:color="auto" w:fill="FFFFFF"/>
          <w:lang w:val="en-US" w:eastAsia="zh-CN"/>
        </w:rPr>
        <w:t>2030</w:t>
      </w:r>
      <w:r>
        <w:rPr>
          <w:rFonts w:hint="eastAsia" w:cs="宋体" w:asciiTheme="minorEastAsia" w:hAnsiTheme="minorEastAsia" w:eastAsiaTheme="minorEastAsia"/>
          <w:sz w:val="24"/>
          <w:szCs w:val="24"/>
          <w:shd w:val="clear" w:color="auto" w:fill="FFFFFF"/>
          <w:lang w:val="en-US" w:eastAsia="zh-CN"/>
        </w:rPr>
        <w:t>年后建成通车的高速公路项目，工程造价将进一步提升，预计收费标准平均水平也会同步提升。与苏锡常南部高速相关的沪宁高速在扩建完工后，假定客车基本费率提升至</w:t>
      </w:r>
      <w:r>
        <w:rPr>
          <w:rFonts w:cs="宋体" w:asciiTheme="minorEastAsia" w:hAnsiTheme="minorEastAsia" w:eastAsiaTheme="minorEastAsia"/>
          <w:sz w:val="24"/>
          <w:szCs w:val="24"/>
          <w:shd w:val="clear" w:color="auto" w:fill="FFFFFF"/>
          <w:lang w:val="en-US" w:eastAsia="zh-CN"/>
        </w:rPr>
        <w:t>0.75</w:t>
      </w:r>
      <w:r>
        <w:rPr>
          <w:rFonts w:hint="eastAsia" w:cs="宋体" w:asciiTheme="minorEastAsia" w:hAnsiTheme="minorEastAsia" w:eastAsiaTheme="minorEastAsia"/>
          <w:sz w:val="24"/>
          <w:szCs w:val="24"/>
          <w:shd w:val="clear" w:color="auto" w:fill="FFFFFF"/>
          <w:lang w:val="en-US" w:eastAsia="zh-CN"/>
        </w:rPr>
        <w:t>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公里，货车基本费率为</w:t>
      </w:r>
      <w:r>
        <w:rPr>
          <w:rFonts w:cs="宋体" w:asciiTheme="minorEastAsia" w:hAnsiTheme="minorEastAsia" w:eastAsiaTheme="minorEastAsia"/>
          <w:sz w:val="24"/>
          <w:szCs w:val="24"/>
          <w:shd w:val="clear" w:color="auto" w:fill="FFFFFF"/>
          <w:lang w:val="en-US" w:eastAsia="zh-CN"/>
        </w:rPr>
        <w:t>0.55</w:t>
      </w:r>
      <w:r>
        <w:rPr>
          <w:rFonts w:hint="eastAsia" w:cs="宋体" w:asciiTheme="minorEastAsia" w:hAnsiTheme="minorEastAsia" w:eastAsiaTheme="minorEastAsia"/>
          <w:sz w:val="24"/>
          <w:szCs w:val="24"/>
          <w:shd w:val="clear" w:color="auto" w:fill="FFFFFF"/>
          <w:lang w:val="en-US" w:eastAsia="zh-CN"/>
        </w:rPr>
        <w:t>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公里，其他在</w:t>
      </w:r>
      <w:r>
        <w:rPr>
          <w:rFonts w:cs="宋体" w:asciiTheme="minorEastAsia" w:hAnsiTheme="minorEastAsia" w:eastAsiaTheme="minorEastAsia"/>
          <w:sz w:val="24"/>
          <w:szCs w:val="24"/>
          <w:shd w:val="clear" w:color="auto" w:fill="FFFFFF"/>
          <w:lang w:val="en-US" w:eastAsia="zh-CN"/>
        </w:rPr>
        <w:t>2030</w:t>
      </w:r>
      <w:r>
        <w:rPr>
          <w:rFonts w:hint="eastAsia" w:cs="宋体" w:asciiTheme="minorEastAsia" w:hAnsiTheme="minorEastAsia" w:eastAsiaTheme="minorEastAsia"/>
          <w:sz w:val="24"/>
          <w:szCs w:val="24"/>
          <w:shd w:val="clear" w:color="auto" w:fill="FFFFFF"/>
          <w:lang w:val="en-US" w:eastAsia="zh-CN"/>
        </w:rPr>
        <w:t>年后建成投入运营的项目与苏锡常南部高速关联较小且造价尚不明确，假定按照（</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）中的基本费率。</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因平行高速公路的收费标准提升，预计苏锡常南部高速在整个通道内流量分担比例相比现状将有所提升。</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7.</w:t>
      </w:r>
      <w:r>
        <w:rPr>
          <w:rFonts w:hint="eastAsia" w:cs="宋体" w:asciiTheme="minorEastAsia" w:hAnsiTheme="minorEastAsia" w:eastAsiaTheme="minorEastAsia"/>
          <w:sz w:val="24"/>
          <w:szCs w:val="24"/>
          <w:shd w:val="clear" w:color="auto" w:fill="FFFFFF"/>
          <w:lang w:val="en-US" w:eastAsia="zh-CN"/>
        </w:rPr>
        <w:t>苏锡常南部高速既有差异化收费政策截止至</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12</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目前无锡市与江苏交控已就政策延续方案进行讨论并签署协议。根据协议，未来苏锡常南部高速公司将不再分担差异化的补助，由地方政府全额支付使用者补助，其他内容与以往方案保持一致。差异化政策一般实施期限小于</w:t>
      </w:r>
      <w:r>
        <w:rPr>
          <w:rFonts w:cs="宋体" w:asciiTheme="minorEastAsia" w:hAnsiTheme="minorEastAsia" w:eastAsiaTheme="minorEastAsia"/>
          <w:sz w:val="24"/>
          <w:szCs w:val="24"/>
          <w:shd w:val="clear" w:color="auto" w:fill="FFFFFF"/>
          <w:lang w:val="en-US" w:eastAsia="zh-CN"/>
        </w:rPr>
        <w:t>5</w:t>
      </w:r>
      <w:r>
        <w:rPr>
          <w:rFonts w:hint="eastAsia" w:cs="宋体" w:asciiTheme="minorEastAsia" w:hAnsiTheme="minorEastAsia" w:eastAsiaTheme="minorEastAsia"/>
          <w:sz w:val="24"/>
          <w:szCs w:val="24"/>
          <w:shd w:val="clear" w:color="auto" w:fill="FFFFFF"/>
          <w:lang w:val="en-US" w:eastAsia="zh-CN"/>
        </w:rPr>
        <w:t>年，需要结合实施效果定期对差异化方案进行动态调整。</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本次预测中假定后续差异化政策维持</w:t>
      </w:r>
      <w:r>
        <w:rPr>
          <w:rFonts w:cs="宋体" w:asciiTheme="minorEastAsia" w:hAnsiTheme="minorEastAsia" w:eastAsiaTheme="minorEastAsia"/>
          <w:sz w:val="24"/>
          <w:szCs w:val="24"/>
          <w:shd w:val="clear" w:color="auto" w:fill="FFFFFF"/>
          <w:lang w:val="en-US" w:eastAsia="zh-CN"/>
        </w:rPr>
        <w:t>2024</w:t>
      </w:r>
      <w:r>
        <w:rPr>
          <w:rFonts w:hint="eastAsia" w:cs="宋体" w:asciiTheme="minorEastAsia" w:hAnsiTheme="minorEastAsia" w:eastAsiaTheme="minorEastAsia"/>
          <w:sz w:val="24"/>
          <w:szCs w:val="24"/>
          <w:shd w:val="clear" w:color="auto" w:fill="FFFFFF"/>
          <w:lang w:val="en-US" w:eastAsia="zh-CN"/>
        </w:rPr>
        <w:t>年延续的方案不变，后期扩大后的方案暂不予考虑。</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8.</w:t>
      </w:r>
      <w:r>
        <w:rPr>
          <w:rFonts w:hint="eastAsia" w:cs="宋体" w:asciiTheme="minorEastAsia" w:hAnsiTheme="minorEastAsia" w:eastAsiaTheme="minorEastAsia"/>
          <w:sz w:val="24"/>
          <w:szCs w:val="24"/>
          <w:shd w:val="clear" w:color="auto" w:fill="FFFFFF"/>
          <w:lang w:val="en-US" w:eastAsia="zh-CN"/>
        </w:rPr>
        <w:t>根据</w:t>
      </w:r>
      <w:r>
        <w:rPr>
          <w:rFonts w:cs="宋体" w:asciiTheme="minorEastAsia" w:hAnsiTheme="minorEastAsia" w:eastAsiaTheme="minorEastAsia"/>
          <w:sz w:val="24"/>
          <w:szCs w:val="24"/>
          <w:shd w:val="clear" w:color="auto" w:fill="FFFFFF"/>
          <w:lang w:val="en-US" w:eastAsia="zh-CN"/>
        </w:rPr>
        <w:t>2022</w:t>
      </w:r>
      <w:r>
        <w:rPr>
          <w:rFonts w:hint="eastAsia" w:cs="宋体" w:asciiTheme="minorEastAsia" w:hAnsiTheme="minorEastAsia" w:eastAsiaTheme="minorEastAsia"/>
          <w:sz w:val="24"/>
          <w:szCs w:val="24"/>
          <w:shd w:val="clear" w:color="auto" w:fill="FFFFFF"/>
          <w:lang w:val="en-US" w:eastAsia="zh-CN"/>
        </w:rPr>
        <w:t>年江苏省委、省政府印发的《江苏省综合立体交通网规划纲要》，未来江苏省规划形成“十五射六纵十横多联”的高速公路网络布局，总里程约</w:t>
      </w:r>
      <w:r>
        <w:rPr>
          <w:rFonts w:cs="宋体" w:asciiTheme="minorEastAsia" w:hAnsiTheme="minorEastAsia" w:eastAsiaTheme="minorEastAsia"/>
          <w:sz w:val="24"/>
          <w:szCs w:val="24"/>
          <w:shd w:val="clear" w:color="auto" w:fill="FFFFFF"/>
          <w:lang w:val="en-US" w:eastAsia="zh-CN"/>
        </w:rPr>
        <w:t>7100</w:t>
      </w:r>
      <w:r>
        <w:rPr>
          <w:rFonts w:hint="eastAsia" w:cs="宋体" w:asciiTheme="minorEastAsia" w:hAnsiTheme="minorEastAsia" w:eastAsiaTheme="minorEastAsia"/>
          <w:sz w:val="24"/>
          <w:szCs w:val="24"/>
          <w:shd w:val="clear" w:color="auto" w:fill="FFFFFF"/>
          <w:lang w:val="en-US" w:eastAsia="zh-CN"/>
        </w:rPr>
        <w:t>公里。是次预测过程中也收集到了待建和在建项目的最新信息</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例如锡宜高速，锡太高速，沿江高速及沪宁高速等</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，从路网功能及区位条件上判断，沿江高速及沪宁高速改扩建工程对苏锡常南部高速公司流量影响较大。</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9.</w:t>
      </w:r>
      <w:r>
        <w:rPr>
          <w:rFonts w:hint="eastAsia" w:cs="宋体" w:asciiTheme="minorEastAsia" w:hAnsiTheme="minorEastAsia" w:eastAsiaTheme="minorEastAsia"/>
          <w:sz w:val="24"/>
          <w:szCs w:val="24"/>
          <w:shd w:val="clear" w:color="auto" w:fill="FFFFFF"/>
          <w:lang w:val="en-US" w:eastAsia="zh-CN"/>
        </w:rPr>
        <w:t>根据《无锡市城市总体规划（</w:t>
      </w:r>
      <w:r>
        <w:rPr>
          <w:rFonts w:cs="宋体" w:asciiTheme="minorEastAsia" w:hAnsiTheme="minorEastAsia" w:eastAsiaTheme="minorEastAsia"/>
          <w:sz w:val="24"/>
          <w:szCs w:val="24"/>
          <w:shd w:val="clear" w:color="auto" w:fill="FFFFFF"/>
          <w:lang w:val="en-US" w:eastAsia="zh-CN"/>
        </w:rPr>
        <w:t>2016-2035</w:t>
      </w:r>
      <w:r>
        <w:rPr>
          <w:rFonts w:hint="eastAsia" w:cs="宋体" w:asciiTheme="minorEastAsia" w:hAnsiTheme="minorEastAsia" w:eastAsiaTheme="minorEastAsia"/>
          <w:sz w:val="24"/>
          <w:szCs w:val="24"/>
          <w:shd w:val="clear" w:color="auto" w:fill="FFFFFF"/>
          <w:lang w:val="en-US" w:eastAsia="zh-CN"/>
        </w:rPr>
        <w:t>）》以及《无锡市国土空间总体规划（</w:t>
      </w:r>
      <w:r>
        <w:rPr>
          <w:rFonts w:cs="宋体" w:asciiTheme="minorEastAsia" w:hAnsiTheme="minorEastAsia" w:eastAsiaTheme="minorEastAsia"/>
          <w:sz w:val="24"/>
          <w:szCs w:val="24"/>
          <w:shd w:val="clear" w:color="auto" w:fill="FFFFFF"/>
          <w:lang w:val="en-US" w:eastAsia="zh-CN"/>
        </w:rPr>
        <w:t>2021-2035</w:t>
      </w:r>
      <w:r>
        <w:rPr>
          <w:rFonts w:hint="eastAsia" w:cs="宋体" w:asciiTheme="minorEastAsia" w:hAnsiTheme="minorEastAsia" w:eastAsiaTheme="minorEastAsia"/>
          <w:sz w:val="24"/>
          <w:szCs w:val="24"/>
          <w:shd w:val="clear" w:color="auto" w:fill="FFFFFF"/>
          <w:lang w:val="en-US" w:eastAsia="zh-CN"/>
        </w:rPr>
        <w:t>年）》（公示稿），对苏锡常南部高速影响较大的地方快速路为规划中的具区路西延及苏锡太湖通道。</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具区路西延为规划与南部通道平行的跨太湖快速路，穿越梅梁湖，接宜马通道，线路走向与苏锡常南部高速基本一致，预计建成后将转移苏锡常南部高速承担的无锡地方交通。目前，具区路西延尚未提上日程，并且随着国家生态管控日趋严格，近期在本项目临近位置再建设一条太湖隧道的难度较大，因此本次评估中不考虑具区路西延的建设。</w:t>
      </w:r>
    </w:p>
    <w:p>
      <w:pPr>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苏锡太湖通道是苏锡常南部高速二期规划取消后，无锡、苏州以地方道路形式建设的城际道路。苏锡大湖通道起点位于苏州太湖大道与贡山路交叉口，终于无锡市蠡湖大道南泉枢纽北侧。该项目建成后将与苏锡常南部高速首尾相接，成为苏锡常区域内部的重要快速城际通道，预计建成后将带来苏锡常南部高速流量的显着增长，特别是苏州南部地区去往常州、无锡的车辆。苏锡太湖隧道两市正在抓紧推进前期工作，尚未明确开工时间，本次评估中按照</w:t>
      </w:r>
      <w:r>
        <w:rPr>
          <w:rFonts w:cs="宋体" w:asciiTheme="minorEastAsia" w:hAnsiTheme="minorEastAsia" w:eastAsiaTheme="minorEastAsia"/>
          <w:sz w:val="24"/>
          <w:szCs w:val="24"/>
          <w:shd w:val="clear" w:color="auto" w:fill="FFFFFF"/>
          <w:lang w:val="en-US" w:eastAsia="zh-CN"/>
        </w:rPr>
        <w:t>2036</w:t>
      </w:r>
      <w:r>
        <w:rPr>
          <w:rFonts w:hint="eastAsia" w:cs="宋体" w:asciiTheme="minorEastAsia" w:hAnsiTheme="minorEastAsia" w:eastAsiaTheme="minorEastAsia"/>
          <w:sz w:val="24"/>
          <w:szCs w:val="24"/>
          <w:shd w:val="clear" w:color="auto" w:fill="FFFFFF"/>
          <w:lang w:val="en-US" w:eastAsia="zh-CN"/>
        </w:rPr>
        <w:t>年建成通车假定。</w:t>
      </w:r>
    </w:p>
    <w:p>
      <w:pPr>
        <w:pStyle w:val="2"/>
        <w:keepNext w:val="0"/>
        <w:keepLines w:val="0"/>
        <w:pageBreakBefore w:val="0"/>
        <w:widowControl/>
        <w:kinsoku/>
        <w:wordWrap/>
        <w:overflowPunct/>
        <w:topLinePunct w:val="0"/>
        <w:autoSpaceDE/>
        <w:autoSpaceDN/>
        <w:bidi w:val="0"/>
        <w:textAlignment w:val="auto"/>
        <w:rPr>
          <w:shd w:val="clear" w:color="auto" w:fill="FFFFFF"/>
        </w:rPr>
      </w:pPr>
      <w:r>
        <w:rPr>
          <w:rFonts w:hint="eastAsia"/>
          <w:shd w:val="clear" w:color="auto" w:fill="FFFFFF"/>
        </w:rPr>
        <w:t>关联交易合同或协议的主要内容和履约安排</w:t>
      </w:r>
    </w:p>
    <w:p>
      <w:pPr>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（一）关联交易合同的主要条款</w:t>
      </w:r>
    </w:p>
    <w:p>
      <w:pPr>
        <w:keepNext w:val="0"/>
        <w:keepLines w:val="0"/>
        <w:pageBreakBefore w:val="0"/>
        <w:widowControl/>
        <w:kinsoku/>
        <w:wordWrap/>
        <w:overflowPunct/>
        <w:topLinePunct w:val="0"/>
        <w:autoSpaceDE/>
        <w:autoSpaceDN/>
        <w:bidi w:val="0"/>
        <w:spacing w:line="360" w:lineRule="auto"/>
        <w:ind w:firstLine="480" w:firstLineChars="200"/>
        <w:contextualSpacing/>
        <w:textAlignment w:val="auto"/>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2024年1月26日，本公司(作为受让方)与江苏交控(作为转让方)签署《股权转让协议》，协议主要条款如下：</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1、协议主体</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转让方：江苏交控（本公司的控股股东）</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受让方：本公司</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目标公司：苏锡常南部高速公司</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2、股权转让</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江苏交控同意将其持有的苏锡常南部高速公司65%股权转让给本公司。于完成转让后，苏锡常南部高速公司将成为本公司的子公司。</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3、转让对价及定价基础</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目标股权的转让对价为人民币520,065万元。</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4、目标股权转让交割先决条件</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目标股权转让的交割以达成（或豁免（倘适用））下文载列的先决条件为前提：</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（1）苏锡常南部高速公司的其他股东已明确放弃其在目标股权转让的优先购买权；</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（2）《股权转让协议》各方内部审议（交割先决条件(4)除外）通过目标股权转让事宜；</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（3）江苏交控已完成本次股权转让所必需的符合有关国资监管部门等主管/监管部门规定的审批/备案程序；</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 xml:space="preserve">（4）本公司股东大会相关的审议通过目标股权转让事宜； </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5）江苏交控及苏锡常南部高速公司已于《股权转让协议》签署当日出具如《股权转让协议》附件2内所示的《声明与承诺》（有关声明为对苏锡常南部高速公司的陈述与保证；而承诺是有关上述陈述与保证直至交割日的承诺）；及</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（6）江苏交控已于《股权转让协议》签署当日出具如《股权转让协议》附件3内所示的《承诺函》。</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于本公告日，先决条件(5)及（6）已经达成。</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5、转让对价的支付</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转让对价将以现金方式支付，并以本公司之自有资金或符合资金用途的融资款项拨付。</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第一期转让对价为人民币18亿元于上述先决条件达成后5个工作日内支付（以下简称“第一期股权转让对价”）。剩余转让对价（即人民币3,400,650,000元）于交割日后90日内支付（以下简称“第二期股权转让对价”）。第二期股权转让对价应当支付延期付款期间的利息，利息应按全国银行间同业拆借中心（经中国人民银行授权）每月20日发布的当期一年期贷款市场报价利率为标准确定。延期付款期间自交割日的次日起至第二期股权转让对价转让款实际支付之日止。</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6、交割</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股权转让应于交割先决条件满足后5个工作日内完成交割。“交割日”为本公司向江苏交控指定银行账户汇入第一期股权转让对价的当日。</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7、过渡期安排</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 xml:space="preserve">各方同意并确认，过渡期内，除在股权转让协议签订前已向受让方书面披露以及股权转让协议签署日起至交割完成前已书面征得受让方同意的情况外，目标公司不得派发、以现金或实物方式支付任何股息或做出其他分配。如有分配，转让方应代受让方托管，并于交割日支付给受让方。过渡期损益交割审计基准日为交割日当日。 </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经各方协商确定，目标公司在过渡期实现的净损益、因净损益以外其他原因而增加或减少的可辨认净资产均归属于受让方。</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8、江苏交控承诺</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于本公告日，江苏交控已全数缴足其所占苏锡常南部高速公司的注册资本。 尽管如此，江苏交控承诺就本公司因其向苏锡常南部高速公司逾期注入注册资本而可能蒙受的损失及索偿（如有）将连带承担全部法律责任。</w:t>
      </w:r>
    </w:p>
    <w:p>
      <w:pPr>
        <w:spacing w:line="360" w:lineRule="auto"/>
        <w:ind w:firstLine="480" w:firstLineChars="200"/>
        <w:contextualSpacing/>
        <w:rPr>
          <w:rFonts w:hint="eastAsia"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9、争议解决</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根据《股权转让协议》的执行所涉及的或与其相关的任何争议，协议各方应友好协商解决。如任何争议无法在争议发生后三十(30)个工作日内通过协商解决，任何一方有权将争议向本公司所在地人民法院提起诉讼。</w:t>
      </w:r>
    </w:p>
    <w:p>
      <w:pPr>
        <w:pStyle w:val="2"/>
      </w:pPr>
      <w:r>
        <w:rPr>
          <w:rFonts w:hint="eastAsia"/>
        </w:rPr>
        <w:t>交易完成后可能新增的关联交易</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完成目标股权的交割后，苏锡常南部高速公司将成为本公司的控股子公司，就苏锡常南部高速公司委托本公司日常经营管理其事务（不含服务区及加油站业务）及委托本公司全资子公司长江商能公司就服务区委托管理事项，及将服务区加油站出租给本公司经营等交易，将不再构成本公司的关联交易。然而，苏锡常南部高速公司在日常业务中与江苏交控以及其联系人的交易将构成本公司的日常关联交易，江苏交控向苏锡常南部高速公司提供的贷款以及担保构成本公司的关联交易。现将于交割后将变成本公司关联交易的交易披露如下：</w:t>
      </w:r>
    </w:p>
    <w:p>
      <w:pPr>
        <w:adjustRightInd w:val="0"/>
        <w:snapToGrid w:val="0"/>
        <w:spacing w:before="156" w:beforeLines="50" w:after="156" w:afterLines="50" w:line="360" w:lineRule="auto"/>
        <w:ind w:firstLine="482"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b/>
          <w:sz w:val="24"/>
          <w:szCs w:val="24"/>
          <w:lang w:eastAsia="zh-CN"/>
        </w:rPr>
        <w:t xml:space="preserve"> </w:t>
      </w:r>
      <w:r>
        <w:rPr>
          <w:rFonts w:cs="宋体" w:asciiTheme="minorEastAsia" w:hAnsiTheme="minorEastAsia" w:eastAsiaTheme="minorEastAsia"/>
          <w:sz w:val="24"/>
          <w:szCs w:val="24"/>
          <w:lang w:eastAsia="zh-CN"/>
        </w:rPr>
        <w:t xml:space="preserve">(1) </w:t>
      </w:r>
      <w:r>
        <w:rPr>
          <w:rFonts w:hint="eastAsia" w:cs="宋体" w:asciiTheme="minorEastAsia" w:hAnsiTheme="minorEastAsia" w:eastAsiaTheme="minorEastAsia"/>
          <w:sz w:val="24"/>
          <w:szCs w:val="24"/>
          <w:lang w:eastAsia="zh-CN"/>
        </w:rPr>
        <w:t>于财务公司的存款</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于《股权转让协议》日（即</w:t>
      </w:r>
      <w:r>
        <w:rPr>
          <w:rFonts w:cs="宋体" w:asciiTheme="minorEastAsia" w:hAnsiTheme="minorEastAsia" w:eastAsiaTheme="minorEastAsia"/>
          <w:sz w:val="24"/>
          <w:szCs w:val="24"/>
          <w:lang w:eastAsia="zh-CN"/>
        </w:rPr>
        <w:t>2024</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1</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26</w:t>
      </w:r>
      <w:r>
        <w:rPr>
          <w:rFonts w:hint="eastAsia" w:cs="宋体" w:asciiTheme="minorEastAsia" w:hAnsiTheme="minorEastAsia" w:eastAsiaTheme="minorEastAsia"/>
          <w:sz w:val="24"/>
          <w:szCs w:val="24"/>
          <w:lang w:eastAsia="zh-CN"/>
        </w:rPr>
        <w:t>日），苏锡常南部高速公司在江苏交通控股集团财务有限公司（</w:t>
      </w:r>
      <w:r>
        <w:rPr>
          <w:rFonts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t>财务公司</w:t>
      </w:r>
      <w:r>
        <w:rPr>
          <w:rFonts w:cs="宋体" w:asciiTheme="minorEastAsia" w:hAnsiTheme="minorEastAsia" w:eastAsiaTheme="minorEastAsia"/>
          <w:sz w:val="24"/>
          <w:szCs w:val="24"/>
          <w:lang w:eastAsia="zh-CN"/>
        </w:rPr>
        <w:t>"</w:t>
      </w:r>
      <w:r>
        <w:rPr>
          <w:rFonts w:hint="eastAsia" w:cs="宋体" w:asciiTheme="minorEastAsia" w:hAnsiTheme="minorEastAsia" w:eastAsiaTheme="minorEastAsia"/>
          <w:sz w:val="24"/>
          <w:szCs w:val="24"/>
          <w:lang w:eastAsia="zh-CN"/>
        </w:rPr>
        <w:t>）的存款金额为人民币</w:t>
      </w:r>
      <w:r>
        <w:rPr>
          <w:rFonts w:cs="宋体" w:asciiTheme="minorEastAsia" w:hAnsiTheme="minorEastAsia" w:eastAsiaTheme="minorEastAsia"/>
          <w:sz w:val="24"/>
          <w:szCs w:val="24"/>
          <w:lang w:eastAsia="zh-CN"/>
        </w:rPr>
        <w:t>125,942,056.67</w:t>
      </w:r>
      <w:r>
        <w:rPr>
          <w:rFonts w:hint="eastAsia" w:cs="宋体" w:asciiTheme="minorEastAsia" w:hAnsiTheme="minorEastAsia" w:eastAsiaTheme="minorEastAsia"/>
          <w:sz w:val="24"/>
          <w:szCs w:val="24"/>
          <w:lang w:eastAsia="zh-CN"/>
        </w:rPr>
        <w:t xml:space="preserve">元。自交割日起，苏锡常南部高速公司将纳入本公司与财务公司当时有效的《金融服务协议》项下的本集团存款额度统一管理。 </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 xml:space="preserve">(2) </w:t>
      </w:r>
      <w:r>
        <w:rPr>
          <w:rFonts w:hint="eastAsia" w:cs="宋体" w:asciiTheme="minorEastAsia" w:hAnsiTheme="minorEastAsia" w:eastAsiaTheme="minorEastAsia"/>
          <w:sz w:val="24"/>
          <w:szCs w:val="24"/>
          <w:lang w:eastAsia="zh-CN"/>
        </w:rPr>
        <w:t>江苏高速公路联网营运管理有限公司</w:t>
      </w:r>
    </w:p>
    <w:p>
      <w:pPr>
        <w:adjustRightIn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2023</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1</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9</w:t>
      </w:r>
      <w:r>
        <w:rPr>
          <w:rFonts w:hint="eastAsia" w:cs="宋体" w:asciiTheme="minorEastAsia" w:hAnsiTheme="minorEastAsia" w:eastAsiaTheme="minorEastAsia"/>
          <w:sz w:val="24"/>
          <w:szCs w:val="24"/>
          <w:lang w:eastAsia="zh-CN"/>
        </w:rPr>
        <w:t>日，苏锡常南部高速公司就路网管理服务与江苏高速公路联网营运管理有限公司（以下简称“联网公司”）签署协议，其与联网公司进行的日常关联交易的协议期限及协议最高金额如下：</w:t>
      </w:r>
    </w:p>
    <w:p>
      <w:pPr>
        <w:autoSpaceDE w:val="0"/>
        <w:autoSpaceDN w:val="0"/>
        <w:adjustRightInd w:val="0"/>
        <w:spacing w:line="360" w:lineRule="auto"/>
        <w:ind w:right="480"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45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299"/>
        <w:gridCol w:w="1299"/>
        <w:gridCol w:w="1299"/>
        <w:gridCol w:w="1299"/>
        <w:gridCol w:w="1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tcBorders>
              <w:insideV w:val="nil"/>
            </w:tcBorders>
            <w:noWrap/>
          </w:tcPr>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项目</w:t>
            </w:r>
          </w:p>
        </w:tc>
        <w:tc>
          <w:tcPr>
            <w:tcW w:w="832" w:type="pct"/>
            <w:tcBorders>
              <w:insideV w:val="nil"/>
            </w:tcBorders>
          </w:tcPr>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履约期限</w:t>
            </w:r>
          </w:p>
        </w:tc>
        <w:tc>
          <w:tcPr>
            <w:tcW w:w="832" w:type="pct"/>
            <w:tcBorders>
              <w:insideV w:val="nil"/>
            </w:tcBorders>
          </w:tcPr>
          <w:p>
            <w:pPr>
              <w:spacing w:line="360" w:lineRule="auto"/>
              <w:rPr>
                <w:rFonts w:asciiTheme="minorEastAsia" w:hAnsiTheme="minorEastAsia" w:eastAsiaTheme="minorEastAsia" w:cstheme="minorBidi"/>
                <w:b w:val="0"/>
                <w:bCs w:val="0"/>
                <w:color w:val="auto"/>
                <w:sz w:val="24"/>
                <w:szCs w:val="24"/>
              </w:rPr>
            </w:pPr>
            <w:r>
              <w:rPr>
                <w:rFonts w:asciiTheme="minorEastAsia" w:hAnsiTheme="minorEastAsia" w:eastAsiaTheme="minorEastAsia" w:cstheme="minorBidi"/>
                <w:b/>
                <w:bCs/>
                <w:color w:val="auto"/>
                <w:sz w:val="24"/>
                <w:szCs w:val="24"/>
                <w:lang w:eastAsia="zh-CN"/>
              </w:rPr>
              <w:t>2024</w:t>
            </w:r>
            <w:r>
              <w:rPr>
                <w:rFonts w:hint="eastAsia" w:asciiTheme="minorEastAsia" w:hAnsiTheme="minorEastAsia" w:eastAsiaTheme="minorEastAsia" w:cstheme="minorBidi"/>
                <w:b/>
                <w:bCs/>
                <w:color w:val="auto"/>
                <w:sz w:val="24"/>
                <w:szCs w:val="24"/>
                <w:lang w:eastAsia="zh-CN"/>
              </w:rPr>
              <w:t>年</w:t>
            </w:r>
          </w:p>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拟发生额</w:t>
            </w:r>
          </w:p>
        </w:tc>
        <w:tc>
          <w:tcPr>
            <w:tcW w:w="832" w:type="pct"/>
            <w:tcBorders>
              <w:insideV w:val="nil"/>
            </w:tcBorders>
          </w:tcPr>
          <w:p>
            <w:pPr>
              <w:spacing w:line="360" w:lineRule="auto"/>
              <w:rPr>
                <w:rFonts w:asciiTheme="minorEastAsia" w:hAnsiTheme="minorEastAsia" w:eastAsiaTheme="minorEastAsia" w:cstheme="minorBidi"/>
                <w:b w:val="0"/>
                <w:bCs w:val="0"/>
                <w:color w:val="auto"/>
                <w:sz w:val="24"/>
                <w:szCs w:val="24"/>
              </w:rPr>
            </w:pPr>
            <w:r>
              <w:rPr>
                <w:rFonts w:asciiTheme="minorEastAsia" w:hAnsiTheme="minorEastAsia" w:eastAsiaTheme="minorEastAsia" w:cstheme="minorBidi"/>
                <w:b/>
                <w:bCs/>
                <w:color w:val="auto"/>
                <w:sz w:val="24"/>
                <w:szCs w:val="24"/>
                <w:lang w:eastAsia="zh-CN"/>
              </w:rPr>
              <w:t>2025</w:t>
            </w:r>
            <w:r>
              <w:rPr>
                <w:rFonts w:hint="eastAsia" w:asciiTheme="minorEastAsia" w:hAnsiTheme="minorEastAsia" w:eastAsiaTheme="minorEastAsia" w:cstheme="minorBidi"/>
                <w:b/>
                <w:bCs/>
                <w:color w:val="auto"/>
                <w:sz w:val="24"/>
                <w:szCs w:val="24"/>
                <w:lang w:eastAsia="zh-CN"/>
              </w:rPr>
              <w:t>年</w:t>
            </w:r>
          </w:p>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拟发生额</w:t>
            </w:r>
          </w:p>
        </w:tc>
        <w:tc>
          <w:tcPr>
            <w:tcW w:w="832" w:type="pct"/>
            <w:tcBorders>
              <w:insideV w:val="nil"/>
            </w:tcBorders>
          </w:tcPr>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合计</w:t>
            </w:r>
          </w:p>
        </w:tc>
        <w:tc>
          <w:tcPr>
            <w:tcW w:w="836" w:type="pct"/>
            <w:tcBorders>
              <w:insideV w:val="nil"/>
            </w:tcBorders>
          </w:tcPr>
          <w:p>
            <w:pPr>
              <w:spacing w:line="360" w:lineRule="auto"/>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2023</w:t>
            </w:r>
            <w:r>
              <w:rPr>
                <w:rFonts w:hint="eastAsia" w:asciiTheme="minorEastAsia" w:hAnsiTheme="minorEastAsia" w:eastAsiaTheme="minorEastAsia" w:cstheme="minorBidi"/>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noWrap/>
          </w:tcPr>
          <w:p>
            <w:pPr>
              <w:spacing w:line="360" w:lineRule="auto"/>
              <w:rPr>
                <w:rFonts w:asciiTheme="minorEastAsia" w:hAnsiTheme="minorEastAsia" w:eastAsiaTheme="minorEastAsia" w:cstheme="minorBidi"/>
                <w:color w:val="auto"/>
                <w:sz w:val="24"/>
                <w:szCs w:val="24"/>
                <w:lang w:eastAsia="zh-TW"/>
              </w:rPr>
            </w:pPr>
            <w:r>
              <w:rPr>
                <w:rFonts w:hint="eastAsia" w:asciiTheme="minorEastAsia" w:hAnsiTheme="minorEastAsia" w:eastAsiaTheme="minorEastAsia" w:cstheme="minorBidi"/>
                <w:color w:val="auto"/>
                <w:sz w:val="24"/>
                <w:szCs w:val="24"/>
                <w:lang w:eastAsia="zh-CN"/>
              </w:rPr>
              <w:t>路网管理服务</w:t>
            </w:r>
          </w:p>
        </w:tc>
        <w:tc>
          <w:tcPr>
            <w:tcW w:w="832" w:type="pct"/>
          </w:tcPr>
          <w:p>
            <w:pPr>
              <w:spacing w:line="360" w:lineRule="auto"/>
              <w:rPr>
                <w:rStyle w:val="36"/>
                <w:rFonts w:asciiTheme="minorEastAsia" w:hAnsiTheme="minorEastAsia" w:eastAsiaTheme="minorEastAsia" w:cstheme="minorBidi"/>
                <w:i w:val="0"/>
                <w:iCs w:val="0"/>
                <w:color w:val="auto"/>
                <w:sz w:val="24"/>
                <w:szCs w:val="24"/>
              </w:rPr>
            </w:pPr>
            <w:r>
              <w:rPr>
                <w:rStyle w:val="36"/>
                <w:rFonts w:asciiTheme="minorEastAsia" w:hAnsiTheme="minorEastAsia" w:eastAsiaTheme="minorEastAsia" w:cstheme="minorBidi"/>
                <w:i w:val="0"/>
                <w:color w:val="auto"/>
                <w:sz w:val="24"/>
                <w:szCs w:val="24"/>
                <w:lang w:eastAsia="zh-CN"/>
              </w:rPr>
              <w:t>2023</w:t>
            </w:r>
            <w:r>
              <w:rPr>
                <w:rStyle w:val="36"/>
                <w:rFonts w:hint="eastAsia" w:asciiTheme="minorEastAsia" w:hAnsiTheme="minorEastAsia" w:eastAsiaTheme="minorEastAsia" w:cstheme="minorBidi"/>
                <w:i w:val="0"/>
                <w:color w:val="auto"/>
                <w:sz w:val="24"/>
                <w:szCs w:val="24"/>
                <w:lang w:eastAsia="zh-CN"/>
              </w:rPr>
              <w:t>年</w:t>
            </w:r>
            <w:r>
              <w:rPr>
                <w:rStyle w:val="36"/>
                <w:rFonts w:asciiTheme="minorEastAsia" w:hAnsiTheme="minorEastAsia" w:eastAsiaTheme="minorEastAsia" w:cstheme="minorBidi"/>
                <w:i w:val="0"/>
                <w:color w:val="auto"/>
                <w:sz w:val="24"/>
                <w:szCs w:val="24"/>
                <w:lang w:eastAsia="zh-CN"/>
              </w:rPr>
              <w:t>1</w:t>
            </w:r>
            <w:r>
              <w:rPr>
                <w:rStyle w:val="36"/>
                <w:rFonts w:hint="eastAsia" w:asciiTheme="minorEastAsia" w:hAnsiTheme="minorEastAsia" w:eastAsiaTheme="minorEastAsia" w:cstheme="minorBidi"/>
                <w:i w:val="0"/>
                <w:color w:val="auto"/>
                <w:sz w:val="24"/>
                <w:szCs w:val="24"/>
                <w:lang w:eastAsia="zh-CN"/>
              </w:rPr>
              <w:t>月</w:t>
            </w:r>
            <w:r>
              <w:rPr>
                <w:rStyle w:val="36"/>
                <w:rFonts w:asciiTheme="minorEastAsia" w:hAnsiTheme="minorEastAsia" w:eastAsiaTheme="minorEastAsia" w:cstheme="minorBidi"/>
                <w:i w:val="0"/>
                <w:color w:val="auto"/>
                <w:sz w:val="24"/>
                <w:szCs w:val="24"/>
                <w:lang w:eastAsia="zh-CN"/>
              </w:rPr>
              <w:t>1</w:t>
            </w:r>
            <w:r>
              <w:rPr>
                <w:rStyle w:val="36"/>
                <w:rFonts w:hint="eastAsia" w:asciiTheme="minorEastAsia" w:hAnsiTheme="minorEastAsia" w:eastAsiaTheme="minorEastAsia" w:cstheme="minorBidi"/>
                <w:i w:val="0"/>
                <w:color w:val="auto"/>
                <w:sz w:val="24"/>
                <w:szCs w:val="24"/>
                <w:lang w:eastAsia="zh-CN"/>
              </w:rPr>
              <w:t>日至</w:t>
            </w:r>
            <w:r>
              <w:rPr>
                <w:rStyle w:val="36"/>
                <w:rFonts w:asciiTheme="minorEastAsia" w:hAnsiTheme="minorEastAsia" w:eastAsiaTheme="minorEastAsia" w:cstheme="minorBidi"/>
                <w:i w:val="0"/>
                <w:color w:val="auto"/>
                <w:sz w:val="24"/>
                <w:szCs w:val="24"/>
                <w:lang w:eastAsia="zh-CN"/>
              </w:rPr>
              <w:t>2025</w:t>
            </w:r>
            <w:r>
              <w:rPr>
                <w:rStyle w:val="36"/>
                <w:rFonts w:hint="eastAsia" w:asciiTheme="minorEastAsia" w:hAnsiTheme="minorEastAsia" w:eastAsiaTheme="minorEastAsia" w:cstheme="minorBidi"/>
                <w:i w:val="0"/>
                <w:color w:val="auto"/>
                <w:sz w:val="24"/>
                <w:szCs w:val="24"/>
                <w:lang w:eastAsia="zh-CN"/>
              </w:rPr>
              <w:t>年</w:t>
            </w:r>
            <w:r>
              <w:rPr>
                <w:rStyle w:val="36"/>
                <w:rFonts w:asciiTheme="minorEastAsia" w:hAnsiTheme="minorEastAsia" w:eastAsiaTheme="minorEastAsia" w:cstheme="minorBidi"/>
                <w:i w:val="0"/>
                <w:color w:val="auto"/>
                <w:sz w:val="24"/>
                <w:szCs w:val="24"/>
                <w:lang w:eastAsia="zh-CN"/>
              </w:rPr>
              <w:t>12</w:t>
            </w:r>
            <w:r>
              <w:rPr>
                <w:rStyle w:val="36"/>
                <w:rFonts w:hint="eastAsia" w:asciiTheme="minorEastAsia" w:hAnsiTheme="minorEastAsia" w:eastAsiaTheme="minorEastAsia" w:cstheme="minorBidi"/>
                <w:i w:val="0"/>
                <w:color w:val="auto"/>
                <w:sz w:val="24"/>
                <w:szCs w:val="24"/>
                <w:lang w:eastAsia="zh-CN"/>
              </w:rPr>
              <w:t>月</w:t>
            </w:r>
            <w:r>
              <w:rPr>
                <w:rStyle w:val="36"/>
                <w:rFonts w:asciiTheme="minorEastAsia" w:hAnsiTheme="minorEastAsia" w:eastAsiaTheme="minorEastAsia" w:cstheme="minorBidi"/>
                <w:i w:val="0"/>
                <w:color w:val="auto"/>
                <w:sz w:val="24"/>
                <w:szCs w:val="24"/>
                <w:lang w:eastAsia="zh-CN"/>
              </w:rPr>
              <w:t>31</w:t>
            </w:r>
            <w:r>
              <w:rPr>
                <w:rStyle w:val="36"/>
                <w:rFonts w:hint="eastAsia" w:asciiTheme="minorEastAsia" w:hAnsiTheme="minorEastAsia" w:eastAsiaTheme="minorEastAsia" w:cstheme="minorBidi"/>
                <w:i w:val="0"/>
                <w:color w:val="auto"/>
                <w:sz w:val="24"/>
                <w:szCs w:val="24"/>
                <w:lang w:eastAsia="zh-CN"/>
              </w:rPr>
              <w:t>日</w:t>
            </w:r>
          </w:p>
        </w:tc>
        <w:tc>
          <w:tcPr>
            <w:tcW w:w="832" w:type="pct"/>
          </w:tcPr>
          <w:p>
            <w:pPr>
              <w:spacing w:line="360" w:lineRule="auto"/>
              <w:rPr>
                <w:rFonts w:asciiTheme="minorEastAsia" w:hAnsiTheme="minorEastAsia" w:eastAsiaTheme="minorEastAsia" w:cstheme="minorBidi"/>
                <w:color w:val="auto"/>
                <w:sz w:val="24"/>
                <w:szCs w:val="24"/>
              </w:rPr>
            </w:pPr>
            <w:r>
              <w:rPr>
                <w:rStyle w:val="36"/>
                <w:rFonts w:asciiTheme="minorEastAsia" w:hAnsiTheme="minorEastAsia" w:eastAsiaTheme="minorEastAsia" w:cstheme="minorBidi"/>
                <w:i w:val="0"/>
                <w:color w:val="auto"/>
                <w:sz w:val="24"/>
                <w:szCs w:val="24"/>
                <w:lang w:eastAsia="zh-CN"/>
              </w:rPr>
              <w:t>8,500,000</w:t>
            </w:r>
          </w:p>
        </w:tc>
        <w:tc>
          <w:tcPr>
            <w:tcW w:w="832" w:type="pct"/>
          </w:tcPr>
          <w:p>
            <w:pPr>
              <w:spacing w:line="360" w:lineRule="auto"/>
              <w:rPr>
                <w:rFonts w:asciiTheme="minorEastAsia" w:hAnsiTheme="minorEastAsia" w:eastAsiaTheme="minorEastAsia" w:cstheme="minorBidi"/>
                <w:color w:val="auto"/>
                <w:sz w:val="24"/>
                <w:szCs w:val="24"/>
              </w:rPr>
            </w:pPr>
            <w:r>
              <w:rPr>
                <w:rStyle w:val="36"/>
                <w:rFonts w:asciiTheme="minorEastAsia" w:hAnsiTheme="minorEastAsia" w:eastAsiaTheme="minorEastAsia" w:cstheme="minorBidi"/>
                <w:i w:val="0"/>
                <w:color w:val="auto"/>
                <w:sz w:val="24"/>
                <w:szCs w:val="24"/>
                <w:lang w:eastAsia="zh-CN"/>
              </w:rPr>
              <w:t>9,300,000</w:t>
            </w:r>
          </w:p>
        </w:tc>
        <w:tc>
          <w:tcPr>
            <w:tcW w:w="832" w:type="pct"/>
          </w:tcPr>
          <w:p>
            <w:pPr>
              <w:spacing w:line="360" w:lineRule="auto"/>
              <w:rPr>
                <w:rFonts w:asciiTheme="minorEastAsia" w:hAnsiTheme="minorEastAsia" w:eastAsiaTheme="minorEastAsia" w:cstheme="minorBidi"/>
                <w:color w:val="auto"/>
                <w:sz w:val="24"/>
                <w:szCs w:val="24"/>
              </w:rPr>
            </w:pPr>
            <w:r>
              <w:rPr>
                <w:rStyle w:val="36"/>
                <w:rFonts w:asciiTheme="minorEastAsia" w:hAnsiTheme="minorEastAsia" w:eastAsiaTheme="minorEastAsia" w:cstheme="minorBidi"/>
                <w:i w:val="0"/>
                <w:color w:val="auto"/>
                <w:sz w:val="24"/>
                <w:szCs w:val="24"/>
                <w:lang w:eastAsia="zh-CN"/>
              </w:rPr>
              <w:t>17,800,000</w:t>
            </w:r>
          </w:p>
        </w:tc>
        <w:tc>
          <w:tcPr>
            <w:tcW w:w="836" w:type="pct"/>
          </w:tcPr>
          <w:p>
            <w:pPr>
              <w:spacing w:line="360" w:lineRule="auto"/>
              <w:rPr>
                <w:rFonts w:asciiTheme="minorEastAsia" w:hAnsiTheme="minorEastAsia" w:eastAsiaTheme="minorEastAsia" w:cstheme="minorBidi"/>
                <w:color w:val="auto"/>
                <w:sz w:val="24"/>
                <w:szCs w:val="24"/>
                <w:lang w:eastAsia="zh-TW"/>
              </w:rPr>
            </w:pPr>
            <w:r>
              <w:rPr>
                <w:rFonts w:asciiTheme="minorEastAsia" w:hAnsiTheme="minorEastAsia" w:eastAsiaTheme="minorEastAsia" w:cstheme="minorBidi"/>
                <w:color w:val="auto"/>
                <w:sz w:val="24"/>
                <w:szCs w:val="24"/>
                <w:lang w:eastAsia="zh-CN"/>
              </w:rPr>
              <w:t>2,006,013</w:t>
            </w:r>
          </w:p>
          <w:p>
            <w:pPr>
              <w:spacing w:line="360" w:lineRule="auto"/>
              <w:rPr>
                <w:rFonts w:asciiTheme="minorEastAsia" w:hAnsiTheme="minorEastAsia" w:eastAsiaTheme="minorEastAsia" w:cstheme="minorBidi"/>
                <w:color w:val="auto"/>
                <w:sz w:val="24"/>
                <w:szCs w:val="24"/>
                <w:lang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tcBorders>
              <w:insideV w:val="nil"/>
            </w:tcBorders>
            <w:noWrap/>
          </w:tcPr>
          <w:p>
            <w:pPr>
              <w:spacing w:line="360" w:lineRule="auto"/>
              <w:rPr>
                <w:rFonts w:asciiTheme="minorEastAsia" w:hAnsiTheme="minorEastAsia" w:eastAsiaTheme="minorEastAsia" w:cstheme="minorBidi"/>
                <w:b w:val="0"/>
                <w:bCs w:val="0"/>
                <w:color w:val="auto"/>
                <w:sz w:val="24"/>
                <w:szCs w:val="24"/>
              </w:rPr>
            </w:pPr>
            <w:r>
              <w:rPr>
                <w:rFonts w:hint="eastAsia" w:asciiTheme="minorEastAsia" w:hAnsiTheme="minorEastAsia" w:eastAsiaTheme="minorEastAsia" w:cstheme="minorBidi"/>
                <w:b w:val="0"/>
                <w:bCs w:val="0"/>
                <w:color w:val="auto"/>
                <w:sz w:val="24"/>
                <w:szCs w:val="24"/>
                <w:lang w:eastAsia="zh-CN"/>
              </w:rPr>
              <w:t>总计</w:t>
            </w:r>
          </w:p>
        </w:tc>
        <w:tc>
          <w:tcPr>
            <w:tcW w:w="832" w:type="pct"/>
            <w:tcBorders>
              <w:insideV w:val="nil"/>
            </w:tcBorders>
          </w:tcPr>
          <w:p>
            <w:pPr>
              <w:pStyle w:val="35"/>
              <w:spacing w:line="360" w:lineRule="auto"/>
              <w:rPr>
                <w:rFonts w:asciiTheme="minorEastAsia" w:hAnsiTheme="minorEastAsia" w:cstheme="minorBidi"/>
                <w:b w:val="0"/>
                <w:bCs w:val="0"/>
                <w:color w:val="auto"/>
                <w:sz w:val="24"/>
                <w:szCs w:val="24"/>
              </w:rPr>
            </w:pPr>
          </w:p>
        </w:tc>
        <w:tc>
          <w:tcPr>
            <w:tcW w:w="832" w:type="pct"/>
            <w:tcBorders>
              <w:insideV w:val="nil"/>
            </w:tcBorders>
          </w:tcPr>
          <w:p>
            <w:pPr>
              <w:spacing w:line="360" w:lineRule="auto"/>
              <w:rPr>
                <w:rFonts w:asciiTheme="minorEastAsia" w:hAnsiTheme="minorEastAsia" w:eastAsiaTheme="minorEastAsia" w:cstheme="minorBidi"/>
                <w:b w:val="0"/>
                <w:bCs w:val="0"/>
                <w:color w:val="auto"/>
                <w:sz w:val="24"/>
                <w:szCs w:val="24"/>
                <w:lang w:eastAsia="zh-CN"/>
              </w:rPr>
            </w:pPr>
            <w:r>
              <w:rPr>
                <w:rStyle w:val="36"/>
                <w:rFonts w:asciiTheme="minorEastAsia" w:hAnsiTheme="minorEastAsia" w:eastAsiaTheme="minorEastAsia" w:cstheme="minorBidi"/>
                <w:b/>
                <w:bCs/>
                <w:i w:val="0"/>
                <w:color w:val="auto"/>
                <w:sz w:val="24"/>
                <w:szCs w:val="24"/>
                <w:lang w:eastAsia="zh-CN"/>
              </w:rPr>
              <w:t>8,500,000</w:t>
            </w:r>
          </w:p>
        </w:tc>
        <w:tc>
          <w:tcPr>
            <w:tcW w:w="832" w:type="pct"/>
            <w:tcBorders>
              <w:insideV w:val="nil"/>
            </w:tcBorders>
          </w:tcPr>
          <w:p>
            <w:pPr>
              <w:spacing w:line="360" w:lineRule="auto"/>
              <w:rPr>
                <w:rFonts w:asciiTheme="minorEastAsia" w:hAnsiTheme="minorEastAsia" w:eastAsiaTheme="minorEastAsia" w:cstheme="minorBidi"/>
                <w:b w:val="0"/>
                <w:bCs w:val="0"/>
                <w:color w:val="auto"/>
                <w:sz w:val="24"/>
                <w:szCs w:val="24"/>
                <w:lang w:eastAsia="zh-CN"/>
              </w:rPr>
            </w:pPr>
            <w:r>
              <w:rPr>
                <w:rStyle w:val="36"/>
                <w:rFonts w:asciiTheme="minorEastAsia" w:hAnsiTheme="minorEastAsia" w:eastAsiaTheme="minorEastAsia" w:cstheme="minorBidi"/>
                <w:b/>
                <w:bCs/>
                <w:i w:val="0"/>
                <w:color w:val="auto"/>
                <w:sz w:val="24"/>
                <w:szCs w:val="24"/>
                <w:lang w:eastAsia="zh-CN"/>
              </w:rPr>
              <w:t>9,300,000</w:t>
            </w:r>
          </w:p>
        </w:tc>
        <w:tc>
          <w:tcPr>
            <w:tcW w:w="832" w:type="pct"/>
            <w:tcBorders>
              <w:insideV w:val="nil"/>
            </w:tcBorders>
          </w:tcPr>
          <w:p>
            <w:pPr>
              <w:spacing w:line="360" w:lineRule="auto"/>
              <w:rPr>
                <w:rStyle w:val="36"/>
                <w:rFonts w:asciiTheme="minorEastAsia" w:hAnsiTheme="minorEastAsia" w:eastAsiaTheme="minorEastAsia" w:cstheme="minorBidi"/>
                <w:b/>
                <w:bCs/>
                <w:i w:val="0"/>
                <w:color w:val="2E75B6" w:themeColor="accent1" w:themeShade="BF"/>
                <w:sz w:val="24"/>
                <w:szCs w:val="24"/>
                <w:lang w:eastAsia="zh-CN"/>
              </w:rPr>
            </w:pPr>
            <w:r>
              <w:rPr>
                <w:rStyle w:val="36"/>
                <w:rFonts w:asciiTheme="minorEastAsia" w:hAnsiTheme="minorEastAsia" w:eastAsiaTheme="minorEastAsia" w:cstheme="minorBidi"/>
                <w:b/>
                <w:bCs/>
                <w:i w:val="0"/>
                <w:color w:val="auto"/>
                <w:sz w:val="24"/>
                <w:szCs w:val="24"/>
                <w:lang w:eastAsia="zh-CN"/>
              </w:rPr>
              <w:t>17,800,000</w:t>
            </w:r>
          </w:p>
        </w:tc>
        <w:tc>
          <w:tcPr>
            <w:tcW w:w="836" w:type="pct"/>
            <w:tcBorders>
              <w:insideV w:val="nil"/>
            </w:tcBorders>
          </w:tcPr>
          <w:p>
            <w:pPr>
              <w:spacing w:line="360" w:lineRule="auto"/>
              <w:rPr>
                <w:rStyle w:val="36"/>
                <w:rFonts w:asciiTheme="minorEastAsia" w:hAnsiTheme="minorEastAsia" w:eastAsiaTheme="minorEastAsia" w:cstheme="minorBidi"/>
                <w:b/>
                <w:bCs/>
                <w:i w:val="0"/>
                <w:color w:val="2E75B6" w:themeColor="accent1" w:themeShade="BF"/>
                <w:sz w:val="24"/>
                <w:szCs w:val="24"/>
                <w:lang w:eastAsia="zh-CN"/>
              </w:rPr>
            </w:pPr>
            <w:r>
              <w:rPr>
                <w:rStyle w:val="36"/>
                <w:rFonts w:asciiTheme="minorEastAsia" w:hAnsiTheme="minorEastAsia" w:eastAsiaTheme="minorEastAsia" w:cstheme="minorBidi"/>
                <w:b/>
                <w:bCs/>
                <w:i w:val="0"/>
                <w:color w:val="auto"/>
                <w:sz w:val="24"/>
                <w:szCs w:val="24"/>
                <w:lang w:eastAsia="zh-CN"/>
              </w:rPr>
              <w:t>2,006,013</w:t>
            </w:r>
          </w:p>
        </w:tc>
      </w:tr>
    </w:tbl>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联网公司的定价是每年通过路网管委会会议由所有路网成员单位共同确定，以通行费收入为基数，现金收入按不超过</w:t>
      </w:r>
      <w:r>
        <w:rPr>
          <w:rFonts w:cs="宋体" w:asciiTheme="minorEastAsia" w:hAnsiTheme="minorEastAsia" w:eastAsiaTheme="minorEastAsia"/>
          <w:sz w:val="24"/>
          <w:szCs w:val="24"/>
          <w:lang w:eastAsia="zh-CN"/>
        </w:rPr>
        <w:t>0.2%</w:t>
      </w:r>
      <w:r>
        <w:rPr>
          <w:rFonts w:hint="eastAsia" w:cs="宋体" w:asciiTheme="minorEastAsia" w:hAnsiTheme="minorEastAsia" w:eastAsiaTheme="minorEastAsia"/>
          <w:sz w:val="24"/>
          <w:szCs w:val="24"/>
          <w:lang w:eastAsia="zh-CN"/>
        </w:rPr>
        <w:t>、非现金收入按不超过</w:t>
      </w:r>
      <w:r>
        <w:rPr>
          <w:rFonts w:cs="宋体" w:asciiTheme="minorEastAsia" w:hAnsiTheme="minorEastAsia" w:eastAsiaTheme="minorEastAsia"/>
          <w:sz w:val="24"/>
          <w:szCs w:val="24"/>
          <w:lang w:eastAsia="zh-CN"/>
        </w:rPr>
        <w:t>1.5%</w:t>
      </w:r>
      <w:r>
        <w:rPr>
          <w:rFonts w:hint="eastAsia" w:cs="宋体" w:asciiTheme="minorEastAsia" w:hAnsiTheme="minorEastAsia" w:eastAsiaTheme="minorEastAsia"/>
          <w:sz w:val="24"/>
          <w:szCs w:val="24"/>
          <w:lang w:eastAsia="zh-CN"/>
        </w:rPr>
        <w:t>的标准向路网各成员单位收取路网管理费。收费标准低于《江苏省物价局关于高速公路联网服务费标准的批覆》（苏价服</w:t>
      </w:r>
      <w:r>
        <w:rPr>
          <w:rFonts w:cs="宋体" w:asciiTheme="minorEastAsia" w:hAnsiTheme="minorEastAsia" w:eastAsiaTheme="minorEastAsia"/>
          <w:sz w:val="24"/>
          <w:szCs w:val="24"/>
          <w:lang w:eastAsia="zh-CN"/>
        </w:rPr>
        <w:t>[2008]204</w:t>
      </w:r>
      <w:r>
        <w:rPr>
          <w:rFonts w:hint="eastAsia" w:cs="宋体" w:asciiTheme="minorEastAsia" w:hAnsiTheme="minorEastAsia" w:eastAsiaTheme="minorEastAsia"/>
          <w:sz w:val="24"/>
          <w:szCs w:val="24"/>
          <w:lang w:eastAsia="zh-CN"/>
        </w:rPr>
        <w:t>号）中批复的价格（现金收入按不超过</w:t>
      </w:r>
      <w:r>
        <w:rPr>
          <w:rFonts w:cs="宋体" w:asciiTheme="minorEastAsia" w:hAnsiTheme="minorEastAsia" w:eastAsiaTheme="minorEastAsia"/>
          <w:sz w:val="24"/>
          <w:szCs w:val="24"/>
          <w:lang w:eastAsia="zh-CN"/>
        </w:rPr>
        <w:t>0.2%</w:t>
      </w:r>
      <w:r>
        <w:rPr>
          <w:rFonts w:hint="eastAsia" w:cs="宋体" w:asciiTheme="minorEastAsia" w:hAnsiTheme="minorEastAsia" w:eastAsiaTheme="minorEastAsia"/>
          <w:sz w:val="24"/>
          <w:szCs w:val="24"/>
          <w:lang w:eastAsia="zh-CN"/>
        </w:rPr>
        <w:t>、非现金收入按不超过</w:t>
      </w:r>
      <w:r>
        <w:rPr>
          <w:rFonts w:cs="宋体" w:asciiTheme="minorEastAsia" w:hAnsiTheme="minorEastAsia" w:eastAsiaTheme="minorEastAsia"/>
          <w:sz w:val="24"/>
          <w:szCs w:val="24"/>
          <w:lang w:eastAsia="zh-CN"/>
        </w:rPr>
        <w:t>2%</w:t>
      </w:r>
      <w:r>
        <w:rPr>
          <w:rFonts w:hint="eastAsia" w:cs="宋体" w:asciiTheme="minorEastAsia" w:hAnsiTheme="minorEastAsia" w:eastAsiaTheme="minorEastAsia"/>
          <w:sz w:val="24"/>
          <w:szCs w:val="24"/>
          <w:lang w:eastAsia="zh-CN"/>
        </w:rPr>
        <w:t>）。协议的费用将在接受相关服务后，苏锡常南部高速公司按月以自有资金或符合资金用途的融资款项自行支付。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(3)</w:t>
      </w:r>
      <w:r>
        <w:rPr>
          <w:rFonts w:hint="eastAsia" w:cs="宋体" w:asciiTheme="minorEastAsia" w:hAnsiTheme="minorEastAsia" w:eastAsiaTheme="minorEastAsia"/>
          <w:sz w:val="24"/>
          <w:szCs w:val="24"/>
          <w:lang w:eastAsia="zh-CN"/>
        </w:rPr>
        <w:t>江苏通行宝智慧交通科技股份有限公司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苏锡常南部高速公司就</w:t>
      </w:r>
      <w:r>
        <w:rPr>
          <w:rFonts w:cs="宋体" w:asciiTheme="minorEastAsia" w:hAnsiTheme="minorEastAsia" w:eastAsiaTheme="minorEastAsia"/>
          <w:sz w:val="24"/>
          <w:szCs w:val="24"/>
          <w:lang w:eastAsia="zh-CN"/>
        </w:rPr>
        <w:t>SD-WAN</w:t>
      </w:r>
      <w:r>
        <w:rPr>
          <w:rFonts w:hint="eastAsia" w:cs="宋体" w:asciiTheme="minorEastAsia" w:hAnsiTheme="minorEastAsia" w:eastAsiaTheme="minorEastAsia"/>
          <w:sz w:val="24"/>
          <w:szCs w:val="24"/>
          <w:lang w:eastAsia="zh-CN"/>
        </w:rPr>
        <w:t>网络运维、云调度技术服务及路网技术服务与江苏通行宝智慧交通科技股份有限公司（以下简称“通行宝公司”）分别于</w:t>
      </w:r>
      <w:r>
        <w:rPr>
          <w:rFonts w:cs="宋体" w:asciiTheme="minorEastAsia" w:hAnsiTheme="minorEastAsia" w:eastAsiaTheme="minorEastAsia"/>
          <w:sz w:val="24"/>
          <w:szCs w:val="24"/>
          <w:lang w:eastAsia="zh-CN"/>
        </w:rPr>
        <w:t>2021</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12</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13</w:t>
      </w:r>
      <w:r>
        <w:rPr>
          <w:rFonts w:hint="eastAsia" w:cs="宋体" w:asciiTheme="minorEastAsia" w:hAnsiTheme="minorEastAsia" w:eastAsiaTheme="minorEastAsia"/>
          <w:sz w:val="24"/>
          <w:szCs w:val="24"/>
          <w:lang w:eastAsia="zh-CN"/>
        </w:rPr>
        <w:t>日，</w:t>
      </w:r>
      <w:r>
        <w:rPr>
          <w:rFonts w:cs="宋体" w:asciiTheme="minorEastAsia" w:hAnsiTheme="minorEastAsia" w:eastAsiaTheme="minorEastAsia"/>
          <w:sz w:val="24"/>
          <w:szCs w:val="24"/>
          <w:lang w:eastAsia="zh-CN"/>
        </w:rPr>
        <w:t>2023</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5</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24</w:t>
      </w:r>
      <w:r>
        <w:rPr>
          <w:rFonts w:hint="eastAsia" w:cs="宋体" w:asciiTheme="minorEastAsia" w:hAnsiTheme="minorEastAsia" w:eastAsiaTheme="minorEastAsia"/>
          <w:sz w:val="24"/>
          <w:szCs w:val="24"/>
          <w:lang w:eastAsia="zh-CN"/>
        </w:rPr>
        <w:t>日及</w:t>
      </w:r>
      <w:r>
        <w:rPr>
          <w:rFonts w:cs="宋体" w:asciiTheme="minorEastAsia" w:hAnsiTheme="minorEastAsia" w:eastAsiaTheme="minorEastAsia"/>
          <w:sz w:val="24"/>
          <w:szCs w:val="24"/>
          <w:lang w:eastAsia="zh-CN"/>
        </w:rPr>
        <w:t>2023</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1</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13</w:t>
      </w:r>
      <w:r>
        <w:rPr>
          <w:rFonts w:hint="eastAsia" w:cs="宋体" w:asciiTheme="minorEastAsia" w:hAnsiTheme="minorEastAsia" w:eastAsiaTheme="minorEastAsia"/>
          <w:sz w:val="24"/>
          <w:szCs w:val="24"/>
          <w:lang w:eastAsia="zh-CN"/>
        </w:rPr>
        <w:t>日签署协议。</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苏锡常南部高速公司与通行宝公司进行的日常关联交易的协议期限及协议最高金额如下：</w:t>
      </w:r>
    </w:p>
    <w:p>
      <w:pPr>
        <w:autoSpaceDE w:val="0"/>
        <w:autoSpaceDN w:val="0"/>
        <w:adjustRightInd w:val="0"/>
        <w:spacing w:line="360" w:lineRule="auto"/>
        <w:ind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52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2480"/>
        <w:gridCol w:w="1167"/>
        <w:gridCol w:w="1167"/>
        <w:gridCol w:w="1165"/>
        <w:gridCol w:w="1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977" w:type="pct"/>
            <w:tcBorders>
              <w:insideV w:val="nil"/>
            </w:tcBorders>
            <w:noWrap/>
            <w:vAlign w:val="center"/>
          </w:tcPr>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项目</w:t>
            </w:r>
          </w:p>
        </w:tc>
        <w:tc>
          <w:tcPr>
            <w:tcW w:w="1394" w:type="pct"/>
            <w:tcBorders>
              <w:insideV w:val="nil"/>
            </w:tcBorders>
            <w:vAlign w:val="center"/>
          </w:tcPr>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履约期限</w:t>
            </w:r>
          </w:p>
        </w:tc>
        <w:tc>
          <w:tcPr>
            <w:tcW w:w="656" w:type="pct"/>
            <w:tcBorders>
              <w:insideV w:val="nil"/>
            </w:tcBorders>
            <w:vAlign w:val="center"/>
          </w:tcPr>
          <w:p>
            <w:pPr>
              <w:spacing w:line="360" w:lineRule="auto"/>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2025</w:t>
            </w:r>
            <w:r>
              <w:rPr>
                <w:rFonts w:hint="eastAsia" w:asciiTheme="minorEastAsia" w:hAnsiTheme="minorEastAsia" w:eastAsiaTheme="minorEastAsia" w:cstheme="minorBidi"/>
                <w:b/>
                <w:bCs/>
                <w:color w:val="auto"/>
                <w:sz w:val="24"/>
                <w:szCs w:val="24"/>
                <w:lang w:eastAsia="zh-CN"/>
              </w:rPr>
              <w:t>年拟发生额</w:t>
            </w:r>
          </w:p>
        </w:tc>
        <w:tc>
          <w:tcPr>
            <w:tcW w:w="656" w:type="pct"/>
            <w:tcBorders>
              <w:insideV w:val="nil"/>
            </w:tcBorders>
            <w:vAlign w:val="center"/>
          </w:tcPr>
          <w:p>
            <w:pPr>
              <w:spacing w:line="360" w:lineRule="auto"/>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2024</w:t>
            </w:r>
            <w:r>
              <w:rPr>
                <w:rFonts w:hint="eastAsia" w:asciiTheme="minorEastAsia" w:hAnsiTheme="minorEastAsia" w:eastAsiaTheme="minorEastAsia" w:cstheme="minorBidi"/>
                <w:b/>
                <w:bCs/>
                <w:color w:val="auto"/>
                <w:sz w:val="24"/>
                <w:szCs w:val="24"/>
                <w:lang w:eastAsia="zh-CN"/>
              </w:rPr>
              <w:t>年拟发生额</w:t>
            </w:r>
          </w:p>
        </w:tc>
        <w:tc>
          <w:tcPr>
            <w:tcW w:w="655" w:type="pct"/>
            <w:tcBorders>
              <w:insideV w:val="nil"/>
            </w:tcBorders>
            <w:vAlign w:val="center"/>
          </w:tcPr>
          <w:p>
            <w:pPr>
              <w:spacing w:line="360" w:lineRule="auto"/>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2023</w:t>
            </w:r>
            <w:r>
              <w:rPr>
                <w:rFonts w:hint="eastAsia" w:asciiTheme="minorEastAsia" w:hAnsiTheme="minorEastAsia" w:eastAsiaTheme="minorEastAsia" w:cstheme="minorBidi"/>
                <w:b/>
                <w:bCs/>
                <w:color w:val="auto"/>
                <w:sz w:val="24"/>
                <w:szCs w:val="24"/>
                <w:lang w:eastAsia="zh-CN"/>
              </w:rPr>
              <w:t>年已发生额</w:t>
            </w:r>
          </w:p>
        </w:tc>
        <w:tc>
          <w:tcPr>
            <w:tcW w:w="662" w:type="pct"/>
            <w:tcBorders>
              <w:insideV w:val="nil"/>
            </w:tcBorders>
            <w:vAlign w:val="center"/>
          </w:tcPr>
          <w:p>
            <w:pPr>
              <w:spacing w:line="360" w:lineRule="auto"/>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2022</w:t>
            </w:r>
            <w:r>
              <w:rPr>
                <w:rFonts w:hint="eastAsia" w:asciiTheme="minorEastAsia" w:hAnsiTheme="minorEastAsia" w:eastAsiaTheme="minorEastAsia" w:cstheme="minorBidi"/>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4" w:hRule="atLeast"/>
          <w:jc w:val="center"/>
        </w:trPr>
        <w:tc>
          <w:tcPr>
            <w:tcW w:w="977" w:type="pct"/>
            <w:noWrap/>
            <w:vAlign w:val="center"/>
          </w:tcPr>
          <w:p>
            <w:pPr>
              <w:spacing w:line="360" w:lineRule="auto"/>
              <w:rPr>
                <w:rFonts w:asciiTheme="minorEastAsia" w:hAnsiTheme="minorEastAsia" w:eastAsiaTheme="minorEastAsia" w:cstheme="minorBidi"/>
                <w:color w:val="auto"/>
                <w:sz w:val="24"/>
                <w:szCs w:val="24"/>
                <w:lang w:eastAsia="zh-TW"/>
              </w:rPr>
            </w:pPr>
            <w:r>
              <w:rPr>
                <w:rFonts w:asciiTheme="minorEastAsia" w:hAnsiTheme="minorEastAsia" w:eastAsiaTheme="minorEastAsia" w:cstheme="minorBidi"/>
                <w:color w:val="auto"/>
                <w:sz w:val="24"/>
                <w:szCs w:val="24"/>
                <w:lang w:eastAsia="zh-CN"/>
              </w:rPr>
              <w:t>SD-WAN</w:t>
            </w:r>
            <w:r>
              <w:rPr>
                <w:rFonts w:hint="eastAsia" w:asciiTheme="minorEastAsia" w:hAnsiTheme="minorEastAsia" w:eastAsiaTheme="minorEastAsia" w:cstheme="minorBidi"/>
                <w:color w:val="auto"/>
                <w:sz w:val="24"/>
                <w:szCs w:val="24"/>
                <w:lang w:eastAsia="zh-CN"/>
              </w:rPr>
              <w:t>网络运维（包括移动支付、车牌上云、技术服务）</w:t>
            </w:r>
          </w:p>
        </w:tc>
        <w:tc>
          <w:tcPr>
            <w:tcW w:w="1394" w:type="pct"/>
            <w:vAlign w:val="center"/>
          </w:tcPr>
          <w:p>
            <w:pPr>
              <w:pStyle w:val="35"/>
              <w:spacing w:line="360" w:lineRule="auto"/>
              <w:rPr>
                <w:rFonts w:asciiTheme="minorEastAsia" w:hAnsiTheme="minorEastAsia" w:cstheme="minorBidi"/>
                <w:color w:val="auto"/>
                <w:sz w:val="24"/>
                <w:szCs w:val="24"/>
                <w:lang w:eastAsia="zh-CN"/>
              </w:rPr>
            </w:pPr>
            <w:r>
              <w:rPr>
                <w:rStyle w:val="36"/>
                <w:rFonts w:asciiTheme="minorEastAsia" w:hAnsiTheme="minorEastAsia" w:cstheme="minorBidi"/>
                <w:i w:val="0"/>
                <w:color w:val="auto"/>
                <w:sz w:val="24"/>
                <w:szCs w:val="24"/>
                <w:lang w:eastAsia="zh-CN"/>
              </w:rPr>
              <w:t>2021</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13</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2024</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31</w:t>
            </w:r>
            <w:r>
              <w:rPr>
                <w:rStyle w:val="36"/>
                <w:rFonts w:hint="eastAsia" w:asciiTheme="minorEastAsia" w:hAnsiTheme="minorEastAsia" w:cstheme="minorBidi"/>
                <w:i w:val="0"/>
                <w:color w:val="auto"/>
                <w:sz w:val="24"/>
                <w:szCs w:val="24"/>
                <w:lang w:eastAsia="zh-CN"/>
              </w:rPr>
              <w:t>日</w:t>
            </w:r>
          </w:p>
        </w:tc>
        <w:tc>
          <w:tcPr>
            <w:tcW w:w="656" w:type="pct"/>
            <w:vAlign w:val="center"/>
          </w:tcPr>
          <w:p>
            <w:pPr>
              <w:spacing w:line="360" w:lineRule="auto"/>
              <w:rPr>
                <w:rFonts w:asciiTheme="minorEastAsia" w:hAnsiTheme="minorEastAsia" w:eastAsiaTheme="minorEastAsia" w:cstheme="minorBidi"/>
                <w:iCs/>
                <w:color w:val="auto"/>
                <w:sz w:val="24"/>
                <w:szCs w:val="24"/>
                <w:lang w:eastAsia="zh-CN"/>
              </w:rPr>
            </w:pPr>
            <w:r>
              <w:rPr>
                <w:rFonts w:hint="eastAsia" w:asciiTheme="minorEastAsia" w:hAnsiTheme="minorEastAsia" w:eastAsiaTheme="minorEastAsia" w:cstheme="minorBidi"/>
                <w:iCs/>
                <w:color w:val="auto"/>
                <w:sz w:val="24"/>
                <w:szCs w:val="24"/>
                <w:lang w:eastAsia="zh-CN"/>
              </w:rPr>
              <w:t>不适用</w:t>
            </w:r>
          </w:p>
        </w:tc>
        <w:tc>
          <w:tcPr>
            <w:tcW w:w="656" w:type="pct"/>
            <w:vAlign w:val="center"/>
          </w:tcPr>
          <w:p>
            <w:pPr>
              <w:spacing w:line="360" w:lineRule="auto"/>
              <w:rPr>
                <w:rFonts w:asciiTheme="minorEastAsia" w:hAnsiTheme="minorEastAsia" w:eastAsiaTheme="minorEastAsia" w:cstheme="minorBidi"/>
                <w:iCs/>
                <w:color w:val="auto"/>
                <w:sz w:val="24"/>
                <w:szCs w:val="24"/>
                <w:lang w:eastAsia="zh-CN"/>
              </w:rPr>
            </w:pPr>
            <w:r>
              <w:rPr>
                <w:rFonts w:asciiTheme="minorEastAsia" w:hAnsiTheme="minorEastAsia" w:eastAsiaTheme="minorEastAsia" w:cstheme="minorBidi"/>
                <w:iCs/>
                <w:color w:val="auto"/>
                <w:sz w:val="24"/>
                <w:szCs w:val="24"/>
                <w:lang w:eastAsia="zh-CN"/>
              </w:rPr>
              <w:t>433,096</w:t>
            </w:r>
          </w:p>
        </w:tc>
        <w:tc>
          <w:tcPr>
            <w:tcW w:w="655" w:type="pct"/>
            <w:vAlign w:val="center"/>
          </w:tcPr>
          <w:p>
            <w:pPr>
              <w:pStyle w:val="35"/>
              <w:spacing w:line="360" w:lineRule="auto"/>
              <w:jc w:val="right"/>
              <w:rPr>
                <w:rFonts w:asciiTheme="minorEastAsia" w:hAnsiTheme="minorEastAsia" w:cstheme="minorBidi"/>
                <w:color w:val="auto"/>
                <w:sz w:val="24"/>
                <w:szCs w:val="24"/>
              </w:rPr>
            </w:pPr>
            <w:r>
              <w:rPr>
                <w:rFonts w:asciiTheme="minorEastAsia" w:hAnsiTheme="minorEastAsia" w:cstheme="minorBidi"/>
                <w:color w:val="auto"/>
                <w:sz w:val="24"/>
                <w:szCs w:val="24"/>
                <w:lang w:eastAsia="zh-CN"/>
              </w:rPr>
              <w:t>512,596</w:t>
            </w:r>
          </w:p>
        </w:tc>
        <w:tc>
          <w:tcPr>
            <w:tcW w:w="662" w:type="pct"/>
            <w:vAlign w:val="center"/>
          </w:tcPr>
          <w:p>
            <w:pPr>
              <w:pStyle w:val="35"/>
              <w:spacing w:line="360" w:lineRule="auto"/>
              <w:jc w:val="right"/>
              <w:rPr>
                <w:rFonts w:asciiTheme="minorEastAsia" w:hAnsiTheme="minorEastAsia" w:cstheme="minorBidi"/>
                <w:color w:val="auto"/>
                <w:sz w:val="24"/>
                <w:szCs w:val="24"/>
                <w:lang w:eastAsia="zh-CN"/>
              </w:rPr>
            </w:pPr>
            <w:r>
              <w:rPr>
                <w:rFonts w:asciiTheme="minorEastAsia" w:hAnsiTheme="minorEastAsia" w:cstheme="minorBidi"/>
                <w:color w:val="auto"/>
                <w:sz w:val="24"/>
                <w:szCs w:val="24"/>
                <w:lang w:eastAsia="zh-CN"/>
              </w:rPr>
              <w:t>820,562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7" w:type="pct"/>
            <w:noWrap/>
            <w:vAlign w:val="center"/>
          </w:tcPr>
          <w:p>
            <w:pPr>
              <w:spacing w:line="360" w:lineRule="auto"/>
              <w:rPr>
                <w:rFonts w:asciiTheme="minorEastAsia" w:hAnsiTheme="minorEastAsia" w:eastAsiaTheme="minorEastAsia" w:cstheme="minorBidi"/>
                <w:color w:val="auto"/>
                <w:sz w:val="24"/>
                <w:szCs w:val="24"/>
                <w:lang w:eastAsia="zh-TW"/>
              </w:rPr>
            </w:pPr>
            <w:r>
              <w:rPr>
                <w:rFonts w:hint="eastAsia" w:asciiTheme="minorEastAsia" w:hAnsiTheme="minorEastAsia" w:eastAsiaTheme="minorEastAsia" w:cstheme="minorBidi"/>
                <w:color w:val="auto"/>
                <w:sz w:val="24"/>
                <w:szCs w:val="24"/>
                <w:lang w:eastAsia="zh-CN"/>
              </w:rPr>
              <w:t>云调度技术服务</w:t>
            </w:r>
          </w:p>
        </w:tc>
        <w:tc>
          <w:tcPr>
            <w:tcW w:w="1394" w:type="pct"/>
            <w:vAlign w:val="center"/>
          </w:tcPr>
          <w:p>
            <w:pPr>
              <w:pStyle w:val="35"/>
              <w:spacing w:line="360" w:lineRule="auto"/>
              <w:rPr>
                <w:rFonts w:asciiTheme="minorEastAsia" w:hAnsiTheme="minorEastAsia" w:cstheme="minorBidi"/>
                <w:color w:val="auto"/>
                <w:sz w:val="24"/>
                <w:szCs w:val="24"/>
              </w:rPr>
            </w:pPr>
            <w:r>
              <w:rPr>
                <w:rStyle w:val="36"/>
                <w:rFonts w:asciiTheme="minorEastAsia" w:hAnsiTheme="minorEastAsia" w:cstheme="minorBidi"/>
                <w:i w:val="0"/>
                <w:color w:val="auto"/>
                <w:sz w:val="24"/>
                <w:szCs w:val="24"/>
                <w:lang w:eastAsia="zh-CN"/>
              </w:rPr>
              <w:t>2023</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5</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2024</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4</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30</w:t>
            </w:r>
            <w:r>
              <w:rPr>
                <w:rStyle w:val="36"/>
                <w:rFonts w:hint="eastAsia" w:asciiTheme="minorEastAsia" w:hAnsiTheme="minorEastAsia" w:cstheme="minorBidi"/>
                <w:i w:val="0"/>
                <w:color w:val="auto"/>
                <w:sz w:val="24"/>
                <w:szCs w:val="24"/>
                <w:lang w:eastAsia="zh-CN"/>
              </w:rPr>
              <w:t>日</w:t>
            </w:r>
          </w:p>
        </w:tc>
        <w:tc>
          <w:tcPr>
            <w:tcW w:w="656" w:type="pct"/>
            <w:vAlign w:val="center"/>
          </w:tcPr>
          <w:p>
            <w:pPr>
              <w:pStyle w:val="35"/>
              <w:spacing w:line="360" w:lineRule="auto"/>
              <w:rPr>
                <w:rStyle w:val="36"/>
                <w:rFonts w:asciiTheme="minorEastAsia" w:hAnsiTheme="minorEastAsia" w:cstheme="minorBidi"/>
                <w:i w:val="0"/>
                <w:iCs w:val="0"/>
                <w:color w:val="auto"/>
                <w:sz w:val="24"/>
                <w:szCs w:val="24"/>
                <w:lang w:eastAsia="zh-CN"/>
              </w:rPr>
            </w:pPr>
            <w:r>
              <w:rPr>
                <w:rFonts w:hint="eastAsia" w:asciiTheme="minorEastAsia" w:hAnsiTheme="minorEastAsia" w:cstheme="minorBidi"/>
                <w:iCs/>
                <w:color w:val="auto"/>
                <w:sz w:val="24"/>
                <w:szCs w:val="24"/>
                <w:lang w:eastAsia="zh-CN"/>
              </w:rPr>
              <w:t>不适用</w:t>
            </w:r>
          </w:p>
        </w:tc>
        <w:tc>
          <w:tcPr>
            <w:tcW w:w="656" w:type="pct"/>
            <w:vAlign w:val="center"/>
          </w:tcPr>
          <w:p>
            <w:pPr>
              <w:pStyle w:val="35"/>
              <w:spacing w:line="360" w:lineRule="auto"/>
              <w:rPr>
                <w:rFonts w:asciiTheme="minorEastAsia" w:hAnsiTheme="minorEastAsia" w:cstheme="minorBidi"/>
                <w:color w:val="auto"/>
                <w:sz w:val="24"/>
                <w:szCs w:val="24"/>
              </w:rPr>
            </w:pPr>
            <w:r>
              <w:rPr>
                <w:rStyle w:val="36"/>
                <w:rFonts w:asciiTheme="minorEastAsia" w:hAnsiTheme="minorEastAsia" w:cstheme="minorBidi"/>
                <w:i w:val="0"/>
                <w:color w:val="auto"/>
                <w:sz w:val="24"/>
                <w:szCs w:val="24"/>
                <w:lang w:eastAsia="zh-CN"/>
              </w:rPr>
              <w:t>106,073.33</w:t>
            </w:r>
          </w:p>
        </w:tc>
        <w:tc>
          <w:tcPr>
            <w:tcW w:w="655" w:type="pct"/>
            <w:vAlign w:val="center"/>
          </w:tcPr>
          <w:p>
            <w:pPr>
              <w:pStyle w:val="35"/>
              <w:spacing w:line="360" w:lineRule="auto"/>
              <w:jc w:val="right"/>
              <w:rPr>
                <w:rFonts w:asciiTheme="minorEastAsia" w:hAnsiTheme="minorEastAsia" w:cstheme="minorBidi"/>
                <w:color w:val="auto"/>
                <w:sz w:val="24"/>
                <w:szCs w:val="24"/>
              </w:rPr>
            </w:pPr>
            <w:r>
              <w:rPr>
                <w:rStyle w:val="36"/>
                <w:rFonts w:asciiTheme="minorEastAsia" w:hAnsiTheme="minorEastAsia" w:cstheme="minorBidi"/>
                <w:i w:val="0"/>
                <w:color w:val="auto"/>
                <w:sz w:val="24"/>
                <w:szCs w:val="24"/>
                <w:lang w:eastAsia="zh-CN"/>
              </w:rPr>
              <w:t>212,146.66</w:t>
            </w:r>
          </w:p>
        </w:tc>
        <w:tc>
          <w:tcPr>
            <w:tcW w:w="662" w:type="pct"/>
            <w:vAlign w:val="center"/>
          </w:tcPr>
          <w:p>
            <w:pPr>
              <w:pStyle w:val="35"/>
              <w:spacing w:line="360" w:lineRule="auto"/>
              <w:jc w:val="right"/>
              <w:rPr>
                <w:rFonts w:asciiTheme="minorEastAsia" w:hAnsiTheme="minorEastAsia" w:cstheme="minorBidi"/>
                <w:color w:val="auto"/>
                <w:sz w:val="24"/>
                <w:szCs w:val="24"/>
                <w:lang w:eastAsia="zh-CN"/>
              </w:rPr>
            </w:pPr>
            <w:r>
              <w:rPr>
                <w:rFonts w:hint="eastAsia" w:asciiTheme="minorEastAsia" w:hAnsiTheme="minorEastAsia" w:cstheme="minorBidi"/>
                <w:iCs/>
                <w:color w:val="auto"/>
                <w:sz w:val="24"/>
                <w:szCs w:val="24"/>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977" w:type="pct"/>
            <w:noWrap/>
            <w:vAlign w:val="center"/>
          </w:tcPr>
          <w:p>
            <w:pPr>
              <w:spacing w:line="360" w:lineRule="auto"/>
              <w:rPr>
                <w:rFonts w:asciiTheme="minorEastAsia" w:hAnsiTheme="minorEastAsia" w:eastAsiaTheme="minorEastAsia" w:cstheme="minorBidi"/>
                <w:color w:val="auto"/>
                <w:sz w:val="24"/>
                <w:szCs w:val="24"/>
                <w:lang w:eastAsia="zh-TW"/>
              </w:rPr>
            </w:pPr>
            <w:r>
              <w:rPr>
                <w:rFonts w:hint="eastAsia" w:asciiTheme="minorEastAsia" w:hAnsiTheme="minorEastAsia" w:eastAsiaTheme="minorEastAsia" w:cstheme="minorBidi"/>
                <w:color w:val="auto"/>
                <w:sz w:val="24"/>
                <w:szCs w:val="24"/>
                <w:lang w:eastAsia="zh-CN"/>
              </w:rPr>
              <w:t>路网技术服务（包括</w:t>
            </w:r>
            <w:r>
              <w:rPr>
                <w:rFonts w:asciiTheme="minorEastAsia" w:hAnsiTheme="minorEastAsia" w:eastAsiaTheme="minorEastAsia" w:cstheme="minorBidi"/>
                <w:color w:val="auto"/>
                <w:sz w:val="24"/>
                <w:szCs w:val="24"/>
                <w:lang w:eastAsia="zh-CN"/>
              </w:rPr>
              <w:t>ETC</w:t>
            </w:r>
            <w:r>
              <w:rPr>
                <w:rFonts w:hint="eastAsia" w:asciiTheme="minorEastAsia" w:hAnsiTheme="minorEastAsia" w:eastAsiaTheme="minorEastAsia" w:cstheme="minorBidi"/>
                <w:color w:val="auto"/>
                <w:sz w:val="24"/>
                <w:szCs w:val="24"/>
                <w:lang w:eastAsia="zh-CN"/>
              </w:rPr>
              <w:t>与移动支付技术服务，清排障移动支付技术服务）</w:t>
            </w:r>
          </w:p>
        </w:tc>
        <w:tc>
          <w:tcPr>
            <w:tcW w:w="1394" w:type="pct"/>
            <w:vAlign w:val="center"/>
          </w:tcPr>
          <w:p>
            <w:pPr>
              <w:pStyle w:val="35"/>
              <w:spacing w:line="360" w:lineRule="auto"/>
              <w:rPr>
                <w:rStyle w:val="36"/>
                <w:rFonts w:asciiTheme="minorEastAsia" w:hAnsiTheme="minorEastAsia" w:cstheme="minorBidi"/>
                <w:i w:val="0"/>
                <w:iCs w:val="0"/>
                <w:color w:val="auto"/>
                <w:sz w:val="24"/>
                <w:szCs w:val="24"/>
              </w:rPr>
            </w:pPr>
            <w:r>
              <w:rPr>
                <w:rStyle w:val="36"/>
                <w:rFonts w:asciiTheme="minorEastAsia" w:hAnsiTheme="minorEastAsia" w:cstheme="minorBidi"/>
                <w:i w:val="0"/>
                <w:color w:val="auto"/>
                <w:sz w:val="24"/>
                <w:szCs w:val="24"/>
                <w:lang w:eastAsia="zh-CN"/>
              </w:rPr>
              <w:t>2023</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2025</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31</w:t>
            </w:r>
            <w:r>
              <w:rPr>
                <w:rStyle w:val="36"/>
                <w:rFonts w:hint="eastAsia" w:asciiTheme="minorEastAsia" w:hAnsiTheme="minorEastAsia" w:cstheme="minorBidi"/>
                <w:i w:val="0"/>
                <w:color w:val="auto"/>
                <w:sz w:val="24"/>
                <w:szCs w:val="24"/>
                <w:lang w:eastAsia="zh-CN"/>
              </w:rPr>
              <w:t>日</w:t>
            </w:r>
          </w:p>
        </w:tc>
        <w:tc>
          <w:tcPr>
            <w:tcW w:w="656" w:type="pct"/>
            <w:vAlign w:val="center"/>
          </w:tcPr>
          <w:p>
            <w:pPr>
              <w:pStyle w:val="35"/>
              <w:spacing w:line="360" w:lineRule="auto"/>
              <w:rPr>
                <w:rStyle w:val="36"/>
                <w:rFonts w:asciiTheme="minorEastAsia" w:hAnsiTheme="minorEastAsia" w:cstheme="minorBidi"/>
                <w:i w:val="0"/>
                <w:iCs w:val="0"/>
                <w:color w:val="auto"/>
                <w:sz w:val="24"/>
                <w:szCs w:val="24"/>
                <w:lang w:eastAsia="zh-CN"/>
              </w:rPr>
            </w:pPr>
            <w:r>
              <w:rPr>
                <w:rStyle w:val="36"/>
                <w:rFonts w:asciiTheme="minorEastAsia" w:hAnsiTheme="minorEastAsia" w:cstheme="minorBidi"/>
                <w:i w:val="0"/>
                <w:color w:val="auto"/>
                <w:sz w:val="24"/>
                <w:szCs w:val="24"/>
                <w:lang w:eastAsia="zh-CN"/>
              </w:rPr>
              <w:t>5,600,000</w:t>
            </w:r>
          </w:p>
        </w:tc>
        <w:tc>
          <w:tcPr>
            <w:tcW w:w="656" w:type="pct"/>
            <w:vAlign w:val="center"/>
          </w:tcPr>
          <w:p>
            <w:pPr>
              <w:pStyle w:val="35"/>
              <w:spacing w:line="360" w:lineRule="auto"/>
              <w:rPr>
                <w:rStyle w:val="36"/>
                <w:rFonts w:asciiTheme="minorEastAsia" w:hAnsiTheme="minorEastAsia" w:cstheme="minorBidi"/>
                <w:i w:val="0"/>
                <w:iCs w:val="0"/>
                <w:color w:val="auto"/>
                <w:sz w:val="24"/>
                <w:szCs w:val="24"/>
                <w:lang w:eastAsia="zh-CN"/>
              </w:rPr>
            </w:pPr>
            <w:r>
              <w:rPr>
                <w:rStyle w:val="36"/>
                <w:rFonts w:asciiTheme="minorEastAsia" w:hAnsiTheme="minorEastAsia" w:cstheme="minorBidi"/>
                <w:i w:val="0"/>
                <w:color w:val="auto"/>
                <w:sz w:val="24"/>
                <w:szCs w:val="24"/>
                <w:lang w:eastAsia="zh-CN"/>
              </w:rPr>
              <w:t>5,000,000</w:t>
            </w:r>
          </w:p>
        </w:tc>
        <w:tc>
          <w:tcPr>
            <w:tcW w:w="655" w:type="pct"/>
            <w:vAlign w:val="center"/>
          </w:tcPr>
          <w:p>
            <w:pPr>
              <w:pStyle w:val="35"/>
              <w:spacing w:line="360" w:lineRule="auto"/>
              <w:jc w:val="right"/>
              <w:rPr>
                <w:rStyle w:val="36"/>
                <w:rFonts w:asciiTheme="minorEastAsia" w:hAnsiTheme="minorEastAsia" w:cstheme="minorBidi"/>
                <w:i w:val="0"/>
                <w:iCs w:val="0"/>
                <w:color w:val="auto"/>
                <w:sz w:val="24"/>
                <w:szCs w:val="24"/>
              </w:rPr>
            </w:pPr>
            <w:r>
              <w:rPr>
                <w:rStyle w:val="36"/>
                <w:rFonts w:asciiTheme="minorEastAsia" w:hAnsiTheme="minorEastAsia" w:cstheme="minorBidi"/>
                <w:i w:val="0"/>
                <w:color w:val="auto"/>
                <w:sz w:val="24"/>
                <w:szCs w:val="24"/>
                <w:lang w:eastAsia="zh-CN"/>
              </w:rPr>
              <w:t>4,400,000</w:t>
            </w:r>
          </w:p>
        </w:tc>
        <w:tc>
          <w:tcPr>
            <w:tcW w:w="662" w:type="pct"/>
            <w:vAlign w:val="center"/>
          </w:tcPr>
          <w:p>
            <w:pPr>
              <w:pStyle w:val="35"/>
              <w:spacing w:line="360" w:lineRule="auto"/>
              <w:jc w:val="right"/>
              <w:rPr>
                <w:rFonts w:asciiTheme="minorEastAsia" w:hAnsiTheme="minorEastAsia" w:cstheme="minorBidi"/>
                <w:color w:val="auto"/>
                <w:sz w:val="24"/>
                <w:szCs w:val="24"/>
                <w:lang w:eastAsia="zh-TW"/>
              </w:rPr>
            </w:pPr>
            <w:r>
              <w:rPr>
                <w:rFonts w:hint="eastAsia" w:asciiTheme="minorEastAsia" w:hAnsiTheme="minorEastAsia" w:cstheme="minorBidi"/>
                <w:iCs/>
                <w:color w:val="auto"/>
                <w:sz w:val="24"/>
                <w:szCs w:val="24"/>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977" w:type="pct"/>
            <w:tcBorders>
              <w:insideV w:val="nil"/>
            </w:tcBorders>
            <w:noWrap/>
            <w:vAlign w:val="center"/>
          </w:tcPr>
          <w:p>
            <w:pPr>
              <w:spacing w:line="360" w:lineRule="auto"/>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val="0"/>
                <w:bCs w:val="0"/>
                <w:color w:val="auto"/>
                <w:sz w:val="24"/>
                <w:szCs w:val="24"/>
                <w:lang w:eastAsia="zh-CN"/>
              </w:rPr>
              <w:t>总计</w:t>
            </w:r>
          </w:p>
        </w:tc>
        <w:tc>
          <w:tcPr>
            <w:tcW w:w="1394" w:type="pct"/>
            <w:tcBorders>
              <w:insideV w:val="nil"/>
            </w:tcBorders>
            <w:vAlign w:val="center"/>
          </w:tcPr>
          <w:p>
            <w:pPr>
              <w:pStyle w:val="35"/>
              <w:spacing w:line="360" w:lineRule="auto"/>
              <w:rPr>
                <w:rFonts w:asciiTheme="minorEastAsia" w:hAnsiTheme="minorEastAsia" w:cstheme="minorBidi"/>
                <w:b/>
                <w:bCs/>
                <w:color w:val="auto"/>
                <w:sz w:val="24"/>
                <w:szCs w:val="24"/>
              </w:rPr>
            </w:pPr>
          </w:p>
        </w:tc>
        <w:tc>
          <w:tcPr>
            <w:tcW w:w="656" w:type="pct"/>
            <w:tcBorders>
              <w:insideV w:val="nil"/>
            </w:tcBorders>
            <w:vAlign w:val="center"/>
          </w:tcPr>
          <w:p>
            <w:pPr>
              <w:pStyle w:val="35"/>
              <w:spacing w:line="360" w:lineRule="auto"/>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5,600,000</w:t>
            </w:r>
          </w:p>
        </w:tc>
        <w:tc>
          <w:tcPr>
            <w:tcW w:w="656" w:type="pct"/>
            <w:tcBorders>
              <w:insideV w:val="nil"/>
            </w:tcBorders>
            <w:vAlign w:val="center"/>
          </w:tcPr>
          <w:p>
            <w:pPr>
              <w:pStyle w:val="35"/>
              <w:spacing w:line="360" w:lineRule="auto"/>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5,539,169.33</w:t>
            </w:r>
          </w:p>
        </w:tc>
        <w:tc>
          <w:tcPr>
            <w:tcW w:w="655" w:type="pct"/>
            <w:tcBorders>
              <w:insideV w:val="nil"/>
            </w:tcBorders>
            <w:vAlign w:val="center"/>
          </w:tcPr>
          <w:p>
            <w:pPr>
              <w:pStyle w:val="35"/>
              <w:spacing w:line="360" w:lineRule="auto"/>
              <w:jc w:val="right"/>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5,124,742.66</w:t>
            </w:r>
          </w:p>
        </w:tc>
        <w:tc>
          <w:tcPr>
            <w:tcW w:w="662" w:type="pct"/>
            <w:tcBorders>
              <w:insideV w:val="nil"/>
            </w:tcBorders>
            <w:vAlign w:val="center"/>
          </w:tcPr>
          <w:p>
            <w:pPr>
              <w:pStyle w:val="35"/>
              <w:spacing w:line="360" w:lineRule="auto"/>
              <w:jc w:val="right"/>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820,562</w:t>
            </w:r>
          </w:p>
        </w:tc>
      </w:tr>
    </w:tbl>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就云调度技术服务、</w:t>
      </w:r>
      <w:r>
        <w:rPr>
          <w:rFonts w:cs="宋体" w:asciiTheme="minorEastAsia" w:hAnsiTheme="minorEastAsia" w:eastAsiaTheme="minorEastAsia"/>
          <w:sz w:val="24"/>
          <w:szCs w:val="24"/>
          <w:lang w:eastAsia="zh-CN"/>
        </w:rPr>
        <w:t>SD-WAN</w:t>
      </w:r>
      <w:r>
        <w:rPr>
          <w:rFonts w:hint="eastAsia" w:cs="宋体" w:asciiTheme="minorEastAsia" w:hAnsiTheme="minorEastAsia" w:eastAsiaTheme="minorEastAsia"/>
          <w:sz w:val="24"/>
          <w:szCs w:val="24"/>
          <w:lang w:eastAsia="zh-CN"/>
        </w:rPr>
        <w:t>网络运维、移动支付、车牌上云、技术服务等费用，苏锡常南部高速公司委聘具中华人民共和国建设部发布的《工程造价咨询单位管理办法》资质的独立第三方造价咨询单位单价审核并报告审核结果。通行宝公司项目的合同价格是其根据苏锡常南部高速公司要求的服务报价或由苏锡常南部高速公司委聘的造价咨询单位审定的价格较低者。协议最高金额分别根据上一年的使用情况和协议期预期使用情况估算。上述各项服务的定价方式和依据确保了该项交易定价的公允性。</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上述移动支付、车牌上云的服务费已由苏锡常南部高速公司以自有资金或符合资金用途的融资款项于</w:t>
      </w:r>
      <w:r>
        <w:rPr>
          <w:rFonts w:cs="宋体" w:asciiTheme="minorEastAsia" w:hAnsiTheme="minorEastAsia" w:eastAsiaTheme="minorEastAsia"/>
          <w:sz w:val="24"/>
          <w:szCs w:val="24"/>
          <w:lang w:eastAsia="zh-CN"/>
        </w:rPr>
        <w:t>2021</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12</w:t>
      </w:r>
      <w:r>
        <w:rPr>
          <w:rFonts w:hint="eastAsia" w:cs="宋体" w:asciiTheme="minorEastAsia" w:hAnsiTheme="minorEastAsia" w:eastAsiaTheme="minorEastAsia"/>
          <w:sz w:val="24"/>
          <w:szCs w:val="24"/>
          <w:lang w:eastAsia="zh-CN"/>
        </w:rPr>
        <w:t>月自行一次性支付。至于云调度技术服务、</w:t>
      </w:r>
      <w:r>
        <w:rPr>
          <w:rFonts w:cs="宋体" w:asciiTheme="minorEastAsia" w:hAnsiTheme="minorEastAsia" w:eastAsiaTheme="minorEastAsia"/>
          <w:sz w:val="24"/>
          <w:szCs w:val="24"/>
          <w:lang w:eastAsia="zh-CN"/>
        </w:rPr>
        <w:t>SD-WAN</w:t>
      </w:r>
      <w:r>
        <w:rPr>
          <w:rFonts w:hint="eastAsia" w:cs="宋体" w:asciiTheme="minorEastAsia" w:hAnsiTheme="minorEastAsia" w:eastAsiaTheme="minorEastAsia"/>
          <w:sz w:val="24"/>
          <w:szCs w:val="24"/>
          <w:lang w:eastAsia="zh-CN"/>
        </w:rPr>
        <w:t>网络运维、技术服务由目标公司每半年在接受相关服务后，以自有资金或符合资金用途的融资款项自行支付。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与</w:t>
      </w:r>
      <w:r>
        <w:rPr>
          <w:rFonts w:cs="宋体" w:asciiTheme="minorEastAsia" w:hAnsiTheme="minorEastAsia" w:eastAsiaTheme="minorEastAsia"/>
          <w:sz w:val="24"/>
          <w:szCs w:val="24"/>
          <w:lang w:eastAsia="zh-CN"/>
        </w:rPr>
        <w:t>ETC</w:t>
      </w:r>
      <w:r>
        <w:rPr>
          <w:rFonts w:hint="eastAsia" w:cs="宋体" w:asciiTheme="minorEastAsia" w:hAnsiTheme="minorEastAsia" w:eastAsiaTheme="minorEastAsia"/>
          <w:sz w:val="24"/>
          <w:szCs w:val="24"/>
          <w:lang w:eastAsia="zh-CN"/>
        </w:rPr>
        <w:t>与移动支付技术服务有关的路网技术服务费是由江苏省高速公路联网的高速公路成员单位代表组成的江苏省高速公路联网营运管理委员会批准通行宝公司按照非现金车辆通行费电子收费额的</w:t>
      </w:r>
      <w:r>
        <w:rPr>
          <w:rFonts w:cs="宋体" w:asciiTheme="minorEastAsia" w:hAnsiTheme="minorEastAsia" w:eastAsiaTheme="minorEastAsia"/>
          <w:sz w:val="24"/>
          <w:szCs w:val="24"/>
          <w:lang w:eastAsia="zh-CN"/>
        </w:rPr>
        <w:t>0.35%</w:t>
      </w:r>
      <w:r>
        <w:rPr>
          <w:rFonts w:hint="eastAsia" w:cs="宋体" w:asciiTheme="minorEastAsia" w:hAnsiTheme="minorEastAsia" w:eastAsiaTheme="minorEastAsia"/>
          <w:sz w:val="24"/>
          <w:szCs w:val="24"/>
          <w:lang w:eastAsia="zh-CN"/>
        </w:rPr>
        <w:t>收取的，该收费标准是委员会在考虑通行宝公司作为服务供货商的成本和费用后，与通行宝公司公平磋商后设定。该价格低于江苏省物价局订立的</w:t>
      </w:r>
      <w:r>
        <w:rPr>
          <w:rFonts w:cs="宋体" w:asciiTheme="minorEastAsia" w:hAnsiTheme="minorEastAsia" w:eastAsiaTheme="minorEastAsia"/>
          <w:sz w:val="24"/>
          <w:szCs w:val="24"/>
          <w:lang w:eastAsia="zh-CN"/>
        </w:rPr>
        <w:t>2%</w:t>
      </w:r>
      <w:r>
        <w:rPr>
          <w:rFonts w:hint="eastAsia" w:cs="宋体" w:asciiTheme="minorEastAsia" w:hAnsiTheme="minorEastAsia" w:eastAsiaTheme="minorEastAsia"/>
          <w:sz w:val="24"/>
          <w:szCs w:val="24"/>
          <w:lang w:eastAsia="zh-CN"/>
        </w:rPr>
        <w:t>的收费上限；协议最高金额基于预期交通量以及不断增长的货车使用趋势估算。有关费用在目标公司每月接受有关服务后，以自有资金或符合资金用途的融资款项自行拨付。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b/>
          <w:sz w:val="24"/>
          <w:szCs w:val="24"/>
          <w:lang w:eastAsia="zh-CN"/>
        </w:rPr>
      </w:pPr>
      <w:r>
        <w:rPr>
          <w:rFonts w:hint="eastAsia" w:cs="宋体" w:asciiTheme="minorEastAsia" w:hAnsiTheme="minorEastAsia" w:eastAsiaTheme="minorEastAsia"/>
          <w:sz w:val="24"/>
          <w:szCs w:val="24"/>
          <w:lang w:eastAsia="zh-CN"/>
        </w:rPr>
        <w:t>与清排障移动支付技术服务有关的路网技术服务费是按年度清障费的</w:t>
      </w:r>
      <w:r>
        <w:rPr>
          <w:rFonts w:cs="宋体" w:asciiTheme="minorEastAsia" w:hAnsiTheme="minorEastAsia" w:eastAsiaTheme="minorEastAsia"/>
          <w:sz w:val="24"/>
          <w:szCs w:val="24"/>
          <w:lang w:eastAsia="zh-CN"/>
        </w:rPr>
        <w:t>0.35%</w:t>
      </w:r>
      <w:r>
        <w:rPr>
          <w:rFonts w:hint="eastAsia" w:cs="宋体" w:asciiTheme="minorEastAsia" w:hAnsiTheme="minorEastAsia" w:eastAsiaTheme="minorEastAsia"/>
          <w:sz w:val="24"/>
          <w:szCs w:val="24"/>
          <w:lang w:eastAsia="zh-CN"/>
        </w:rPr>
        <w:t>收取。协议最高代收金额是苏锡常南部高速公司根据近几年清排障技术服务费的发生额，结合车流量情况进行测算的结果。有关费用在目标公司每月接受有关服务后，以自有资金或符合资金用途的融资款项自行拨付。</w:t>
      </w:r>
      <w:r>
        <w:rPr>
          <w:rFonts w:hint="eastAsia" w:cs="宋体" w:asciiTheme="minorEastAsia" w:hAnsiTheme="minorEastAsia" w:eastAsiaTheme="minorEastAsia"/>
          <w:b/>
          <w:sz w:val="24"/>
          <w:szCs w:val="24"/>
          <w:lang w:eastAsia="zh-CN"/>
        </w:rPr>
        <w:t xml:space="preserve"> </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(4)</w:t>
      </w:r>
      <w:r>
        <w:rPr>
          <w:rFonts w:hint="eastAsia" w:cs="宋体" w:asciiTheme="minorEastAsia" w:hAnsiTheme="minorEastAsia" w:eastAsiaTheme="minorEastAsia"/>
          <w:sz w:val="24"/>
          <w:szCs w:val="24"/>
          <w:lang w:eastAsia="zh-CN"/>
        </w:rPr>
        <w:t>江苏现代路桥有限责任公司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2021</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4</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23</w:t>
      </w:r>
      <w:r>
        <w:rPr>
          <w:rFonts w:hint="eastAsia" w:cs="宋体" w:asciiTheme="minorEastAsia" w:hAnsiTheme="minorEastAsia" w:eastAsiaTheme="minorEastAsia"/>
          <w:sz w:val="24"/>
          <w:szCs w:val="24"/>
          <w:lang w:eastAsia="zh-CN"/>
        </w:rPr>
        <w:t>日，苏锡常南部高速公司就太湖隧道、邀贤山隧道工程路面建养一体化项目</w:t>
      </w:r>
      <w:r>
        <w:rPr>
          <w:rFonts w:cs="宋体" w:asciiTheme="minorEastAsia" w:hAnsiTheme="minorEastAsia" w:eastAsiaTheme="minorEastAsia"/>
          <w:sz w:val="24"/>
          <w:szCs w:val="24"/>
          <w:lang w:eastAsia="zh-CN"/>
        </w:rPr>
        <w:t>CX-23</w:t>
      </w:r>
      <w:r>
        <w:rPr>
          <w:rFonts w:hint="eastAsia" w:cs="宋体" w:asciiTheme="minorEastAsia" w:hAnsiTheme="minorEastAsia" w:eastAsiaTheme="minorEastAsia"/>
          <w:sz w:val="24"/>
          <w:szCs w:val="24"/>
          <w:lang w:eastAsia="zh-CN"/>
        </w:rPr>
        <w:t>标段养护与江苏现代路桥有限责任公司（以下简称“现代路桥公司”）签署协议，该协议的总额为</w:t>
      </w:r>
      <w:r>
        <w:rPr>
          <w:rFonts w:cs="宋体" w:asciiTheme="minorEastAsia" w:hAnsiTheme="minorEastAsia" w:eastAsiaTheme="minorEastAsia"/>
          <w:sz w:val="24"/>
          <w:szCs w:val="24"/>
          <w:lang w:eastAsia="zh-CN"/>
        </w:rPr>
        <w:t xml:space="preserve"> </w:t>
      </w:r>
      <w:r>
        <w:rPr>
          <w:rFonts w:hint="eastAsia" w:cs="宋体" w:asciiTheme="minorEastAsia" w:hAnsiTheme="minorEastAsia" w:eastAsiaTheme="minorEastAsia"/>
          <w:sz w:val="24"/>
          <w:szCs w:val="24"/>
          <w:lang w:eastAsia="zh-CN"/>
        </w:rPr>
        <w:t>人民币</w:t>
      </w:r>
      <w:r>
        <w:rPr>
          <w:rFonts w:cs="宋体" w:asciiTheme="minorEastAsia" w:hAnsiTheme="minorEastAsia" w:eastAsiaTheme="minorEastAsia"/>
          <w:sz w:val="24"/>
          <w:szCs w:val="24"/>
          <w:lang w:eastAsia="zh-CN"/>
        </w:rPr>
        <w:t>39,845,585.98</w:t>
      </w:r>
      <w:r>
        <w:rPr>
          <w:rFonts w:hint="eastAsia" w:cs="宋体" w:asciiTheme="minorEastAsia" w:hAnsiTheme="minorEastAsia" w:eastAsiaTheme="minorEastAsia"/>
          <w:sz w:val="24"/>
          <w:szCs w:val="24"/>
          <w:lang w:eastAsia="zh-CN"/>
        </w:rPr>
        <w:t>元。</w:t>
      </w:r>
    </w:p>
    <w:p>
      <w:pPr>
        <w:adjustRightInd w:val="0"/>
        <w:snapToGrid w:val="0"/>
        <w:spacing w:before="156" w:beforeLines="50" w:after="156" w:afterLines="50" w:line="360" w:lineRule="auto"/>
        <w:ind w:firstLine="480" w:firstLineChars="200"/>
        <w:rPr>
          <w:rFonts w:cs="PMingLiU"/>
          <w:spacing w:val="49"/>
          <w:sz w:val="24"/>
          <w:szCs w:val="24"/>
          <w:lang w:eastAsia="zh-TW"/>
        </w:rPr>
      </w:pPr>
      <w:r>
        <w:rPr>
          <w:rFonts w:hint="eastAsia" w:cs="宋体" w:asciiTheme="minorEastAsia" w:hAnsiTheme="minorEastAsia" w:eastAsiaTheme="minorEastAsia"/>
          <w:sz w:val="24"/>
          <w:szCs w:val="24"/>
          <w:lang w:eastAsia="zh-CN"/>
        </w:rPr>
        <w:t xml:space="preserve">苏锡常南部高速公司与现代路桥公司进行的关联交易的协议期限及协议最高金额如下： </w:t>
      </w:r>
    </w:p>
    <w:p>
      <w:pPr>
        <w:autoSpaceDE w:val="0"/>
        <w:autoSpaceDN w:val="0"/>
        <w:adjustRightInd w:val="0"/>
        <w:spacing w:line="360" w:lineRule="auto"/>
        <w:ind w:right="358"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4"/>
        <w:tblW w:w="8039" w:type="dxa"/>
        <w:tblInd w:w="0" w:type="dxa"/>
        <w:tblLayout w:type="fixed"/>
        <w:tblCellMar>
          <w:top w:w="0" w:type="dxa"/>
          <w:left w:w="108" w:type="dxa"/>
          <w:bottom w:w="0" w:type="dxa"/>
          <w:right w:w="108" w:type="dxa"/>
        </w:tblCellMar>
      </w:tblPr>
      <w:tblGrid>
        <w:gridCol w:w="2289"/>
        <w:gridCol w:w="5750"/>
      </w:tblGrid>
      <w:tr>
        <w:tblPrEx>
          <w:tblCellMar>
            <w:top w:w="0" w:type="dxa"/>
            <w:left w:w="108" w:type="dxa"/>
            <w:bottom w:w="0" w:type="dxa"/>
            <w:right w:w="108" w:type="dxa"/>
          </w:tblCellMar>
        </w:tblPrEx>
        <w:trPr>
          <w:trHeight w:val="1093"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项目</w:t>
            </w:r>
          </w:p>
        </w:tc>
        <w:tc>
          <w:tcPr>
            <w:tcW w:w="5750" w:type="dxa"/>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太湖隧道、邀贤山隧道工程路面建养一体化项目</w:t>
            </w:r>
            <w:r>
              <w:rPr>
                <w:rFonts w:cs="宋体" w:asciiTheme="minorEastAsia" w:hAnsiTheme="minorEastAsia" w:eastAsiaTheme="minorEastAsia"/>
                <w:sz w:val="24"/>
                <w:szCs w:val="24"/>
                <w:lang w:eastAsia="zh-CN"/>
              </w:rPr>
              <w:t>CX-23</w:t>
            </w:r>
            <w:r>
              <w:rPr>
                <w:rFonts w:hint="eastAsia" w:cs="宋体" w:asciiTheme="minorEastAsia" w:hAnsiTheme="minorEastAsia" w:eastAsiaTheme="minorEastAsia"/>
                <w:sz w:val="24"/>
                <w:szCs w:val="24"/>
                <w:lang w:eastAsia="zh-CN"/>
              </w:rPr>
              <w:t>标段养护（以下简称“路面养护协议”）</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2021</w:t>
            </w:r>
            <w:r>
              <w:rPr>
                <w:rFonts w:hint="eastAsia" w:cs="宋体" w:asciiTheme="minorEastAsia" w:hAnsiTheme="minorEastAsia" w:eastAsiaTheme="minorEastAsia"/>
                <w:sz w:val="24"/>
                <w:szCs w:val="24"/>
                <w:lang w:eastAsia="zh-CN"/>
              </w:rPr>
              <w:t>年已发生额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1,962,179.94</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2022</w:t>
            </w:r>
            <w:r>
              <w:rPr>
                <w:rFonts w:hint="eastAsia" w:cs="宋体" w:asciiTheme="minorEastAsia" w:hAnsiTheme="minorEastAsia" w:eastAsiaTheme="minorEastAsia"/>
                <w:sz w:val="24"/>
                <w:szCs w:val="24"/>
                <w:lang w:eastAsia="zh-CN"/>
              </w:rPr>
              <w:t>年已发生额</w:t>
            </w:r>
          </w:p>
        </w:tc>
        <w:tc>
          <w:tcPr>
            <w:tcW w:w="5750" w:type="dxa"/>
            <w:tcBorders>
              <w:top w:val="single" w:color="000000" w:sz="4" w:space="0"/>
              <w:left w:val="single" w:color="000000" w:sz="4" w:space="0"/>
              <w:bottom w:val="single" w:color="000000" w:sz="4" w:space="0"/>
              <w:right w:val="single" w:color="000000" w:sz="4" w:space="0"/>
            </w:tcBorders>
            <w:noWrap/>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1,962,179.94</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2023</w:t>
            </w:r>
            <w:r>
              <w:rPr>
                <w:rFonts w:hint="eastAsia" w:cs="宋体" w:asciiTheme="minorEastAsia" w:hAnsiTheme="minorEastAsia" w:eastAsiaTheme="minorEastAsia"/>
                <w:sz w:val="24"/>
                <w:szCs w:val="24"/>
                <w:lang w:eastAsia="zh-CN"/>
              </w:rPr>
              <w:t>年已发生额</w:t>
            </w:r>
          </w:p>
        </w:tc>
        <w:tc>
          <w:tcPr>
            <w:tcW w:w="5750" w:type="dxa"/>
            <w:tcBorders>
              <w:top w:val="single" w:color="000000" w:sz="4" w:space="0"/>
              <w:left w:val="single" w:color="000000" w:sz="4" w:space="0"/>
              <w:bottom w:val="single" w:color="000000" w:sz="4" w:space="0"/>
              <w:right w:val="single" w:color="000000" w:sz="4" w:space="0"/>
            </w:tcBorders>
            <w:noWrap/>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1,962,179.94</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2024</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3,931,763.905</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2025</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4,304,023.48</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2026</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4,304,023.48</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2027</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4,676,283.055</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2028</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4,676,283.055</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2029</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5,048,542.63</w:t>
            </w:r>
          </w:p>
        </w:tc>
      </w:tr>
      <w:tr>
        <w:tblPrEx>
          <w:tblCellMar>
            <w:top w:w="0" w:type="dxa"/>
            <w:left w:w="108" w:type="dxa"/>
            <w:bottom w:w="0" w:type="dxa"/>
            <w:right w:w="108" w:type="dxa"/>
          </w:tblCellMar>
        </w:tblPrEx>
        <w:trPr>
          <w:trHeight w:val="391"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2030</w:t>
            </w:r>
            <w:r>
              <w:rPr>
                <w:rFonts w:hint="eastAsia" w:cs="宋体" w:asciiTheme="minorEastAsia" w:hAnsiTheme="minorEastAsia" w:eastAsiaTheme="minorEastAsia"/>
                <w:sz w:val="24"/>
                <w:szCs w:val="24"/>
                <w:lang w:eastAsia="zh-CN"/>
              </w:rPr>
              <w:t>年拟发生额</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5,420,802.205</w:t>
            </w:r>
          </w:p>
        </w:tc>
      </w:tr>
      <w:tr>
        <w:tblPrEx>
          <w:tblCellMar>
            <w:top w:w="0" w:type="dxa"/>
            <w:left w:w="108" w:type="dxa"/>
            <w:bottom w:w="0" w:type="dxa"/>
            <w:right w:w="108" w:type="dxa"/>
          </w:tblCellMar>
        </w:tblPrEx>
        <w:trPr>
          <w:trHeight w:val="576" w:hRule="atLeast"/>
        </w:trPr>
        <w:tc>
          <w:tcPr>
            <w:tcW w:w="2289"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rPr>
                <w:rFonts w:cs="宋体" w:asciiTheme="minorEastAsia" w:hAnsiTheme="minorEastAsia" w:eastAsiaTheme="minorEastAsia"/>
                <w:b/>
                <w:sz w:val="24"/>
                <w:szCs w:val="24"/>
                <w:lang w:eastAsia="zh-CN"/>
              </w:rPr>
            </w:pPr>
            <w:r>
              <w:rPr>
                <w:rFonts w:hint="eastAsia" w:cs="宋体" w:asciiTheme="minorEastAsia" w:hAnsiTheme="minorEastAsia" w:eastAsiaTheme="minorEastAsia"/>
                <w:b/>
                <w:sz w:val="24"/>
                <w:szCs w:val="24"/>
                <w:lang w:eastAsia="zh-CN"/>
              </w:rPr>
              <w:t>总计</w:t>
            </w:r>
          </w:p>
        </w:tc>
        <w:tc>
          <w:tcPr>
            <w:tcW w:w="5750" w:type="dxa"/>
            <w:tcBorders>
              <w:top w:val="single" w:color="000000" w:sz="4" w:space="0"/>
              <w:left w:val="single" w:color="000000" w:sz="4" w:space="0"/>
              <w:bottom w:val="single" w:color="000000" w:sz="4" w:space="0"/>
              <w:right w:val="single" w:color="000000" w:sz="4" w:space="0"/>
            </w:tcBorders>
            <w:noWrap/>
            <w:vAlign w:val="center"/>
          </w:tcPr>
          <w:p>
            <w:pPr>
              <w:spacing w:line="360" w:lineRule="auto"/>
              <w:jc w:val="center"/>
              <w:rPr>
                <w:rFonts w:cs="宋体" w:asciiTheme="minorEastAsia" w:hAnsiTheme="minorEastAsia" w:eastAsiaTheme="minorEastAsia"/>
                <w:b/>
                <w:sz w:val="24"/>
                <w:szCs w:val="24"/>
                <w:lang w:eastAsia="zh-CN"/>
              </w:rPr>
            </w:pPr>
            <w:r>
              <w:rPr>
                <w:rFonts w:cs="宋体" w:asciiTheme="minorEastAsia" w:hAnsiTheme="minorEastAsia" w:eastAsiaTheme="minorEastAsia"/>
                <w:b/>
                <w:sz w:val="24"/>
                <w:szCs w:val="24"/>
                <w:lang w:eastAsia="zh-CN"/>
              </w:rPr>
              <w:t>38,248,261.63</w:t>
            </w:r>
          </w:p>
        </w:tc>
      </w:tr>
    </w:tbl>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根据路面养护协议，现代路桥公司负责就</w:t>
      </w:r>
      <w:r>
        <w:rPr>
          <w:rFonts w:cs="宋体" w:asciiTheme="minorEastAsia" w:hAnsiTheme="minorEastAsia" w:eastAsiaTheme="minorEastAsia"/>
          <w:sz w:val="24"/>
          <w:szCs w:val="24"/>
          <w:lang w:eastAsia="zh-CN"/>
        </w:rPr>
        <w:t>CX-23</w:t>
      </w:r>
      <w:r>
        <w:rPr>
          <w:rFonts w:hint="eastAsia" w:cs="宋体" w:asciiTheme="minorEastAsia" w:hAnsiTheme="minorEastAsia" w:eastAsiaTheme="minorEastAsia"/>
          <w:sz w:val="24"/>
          <w:szCs w:val="24"/>
          <w:lang w:eastAsia="zh-CN"/>
        </w:rPr>
        <w:t>标段范围内的隧道路面及吴杨路支线上跨和路马公路支线路面施工完成后的养护。有关施工于</w:t>
      </w:r>
      <w:r>
        <w:rPr>
          <w:rFonts w:cs="宋体" w:asciiTheme="minorEastAsia" w:hAnsiTheme="minorEastAsia" w:eastAsiaTheme="minorEastAsia"/>
          <w:sz w:val="24"/>
          <w:szCs w:val="24"/>
          <w:lang w:eastAsia="zh-CN"/>
        </w:rPr>
        <w:t>2021</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11</w:t>
      </w:r>
      <w:r>
        <w:rPr>
          <w:rFonts w:hint="eastAsia" w:cs="宋体" w:asciiTheme="minorEastAsia" w:hAnsiTheme="minorEastAsia" w:eastAsiaTheme="minorEastAsia"/>
          <w:sz w:val="24"/>
          <w:szCs w:val="24"/>
          <w:lang w:eastAsia="zh-CN"/>
        </w:rPr>
        <w:t>月完成，根据路面养护协议，现代路桥公司就新建项目与交工验收日后十年提供养护服务，有关养护阶段的合同总额为人民币</w:t>
      </w:r>
      <w:r>
        <w:rPr>
          <w:rFonts w:cs="宋体" w:asciiTheme="minorEastAsia" w:hAnsiTheme="minorEastAsia" w:eastAsiaTheme="minorEastAsia"/>
          <w:sz w:val="24"/>
          <w:szCs w:val="24"/>
          <w:lang w:eastAsia="zh-CN"/>
        </w:rPr>
        <w:t>39,845,585.98</w:t>
      </w:r>
      <w:r>
        <w:rPr>
          <w:rFonts w:hint="eastAsia" w:cs="宋体" w:asciiTheme="minorEastAsia" w:hAnsiTheme="minorEastAsia" w:eastAsiaTheme="minorEastAsia"/>
          <w:sz w:val="24"/>
          <w:szCs w:val="24"/>
          <w:lang w:eastAsia="zh-CN"/>
        </w:rPr>
        <w:t>元。</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现代路桥公司通过由交通建设局负责招标成功取得路面养护协议。协议最高金额基于道路状况所需的预期服务量估算。协议的费用在每季度接受有关服务后，苏锡常南部高速公司以自有资金或符合资金用途的融资款项自行拨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由于路面养护协议的期限超过三年，根据上海上市规则，本公司后续将每三年将此议案提请董事会审议。</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 xml:space="preserve"> (5)</w:t>
      </w:r>
      <w:r>
        <w:rPr>
          <w:rFonts w:hint="eastAsia" w:cs="宋体" w:asciiTheme="minorEastAsia" w:hAnsiTheme="minorEastAsia" w:eastAsiaTheme="minorEastAsia"/>
          <w:sz w:val="24"/>
          <w:szCs w:val="24"/>
          <w:lang w:eastAsia="zh-CN"/>
        </w:rPr>
        <w:t>江苏快鹿汽车运输股份有限公司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2023</w:t>
      </w:r>
      <w:r>
        <w:rPr>
          <w:rFonts w:hint="eastAsia" w:cs="宋体" w:asciiTheme="minorEastAsia" w:hAnsiTheme="minorEastAsia" w:eastAsiaTheme="minorEastAsia"/>
          <w:sz w:val="24"/>
          <w:szCs w:val="24"/>
          <w:lang w:eastAsia="zh-CN"/>
        </w:rPr>
        <w:t>年</w:t>
      </w:r>
      <w:r>
        <w:rPr>
          <w:rFonts w:cs="宋体" w:asciiTheme="minorEastAsia" w:hAnsiTheme="minorEastAsia" w:eastAsiaTheme="minorEastAsia"/>
          <w:sz w:val="24"/>
          <w:szCs w:val="24"/>
          <w:lang w:eastAsia="zh-CN"/>
        </w:rPr>
        <w:t>5</w:t>
      </w:r>
      <w:r>
        <w:rPr>
          <w:rFonts w:hint="eastAsia" w:cs="宋体" w:asciiTheme="minorEastAsia" w:hAnsiTheme="minorEastAsia" w:eastAsiaTheme="minorEastAsia"/>
          <w:sz w:val="24"/>
          <w:szCs w:val="24"/>
          <w:lang w:eastAsia="zh-CN"/>
        </w:rPr>
        <w:t>月</w:t>
      </w:r>
      <w:r>
        <w:rPr>
          <w:rFonts w:cs="宋体" w:asciiTheme="minorEastAsia" w:hAnsiTheme="minorEastAsia" w:eastAsiaTheme="minorEastAsia"/>
          <w:sz w:val="24"/>
          <w:szCs w:val="24"/>
          <w:lang w:eastAsia="zh-CN"/>
        </w:rPr>
        <w:t>1</w:t>
      </w:r>
      <w:r>
        <w:rPr>
          <w:rFonts w:hint="eastAsia" w:cs="宋体" w:asciiTheme="minorEastAsia" w:hAnsiTheme="minorEastAsia" w:eastAsiaTheme="minorEastAsia"/>
          <w:sz w:val="24"/>
          <w:szCs w:val="24"/>
          <w:lang w:eastAsia="zh-CN"/>
        </w:rPr>
        <w:t>日，本公司就由江苏快鹿汽车运输股份有限公司（以下简称“快鹿公司”）为苏锡常南部高速公司提供通勤班车服务，与快鹿公司签署协议。</w:t>
      </w:r>
    </w:p>
    <w:p>
      <w:pPr>
        <w:adjustRightInd w:val="0"/>
        <w:snapToGrid w:val="0"/>
        <w:spacing w:before="156" w:beforeLines="50" w:after="156" w:afterLines="50" w:line="360" w:lineRule="auto"/>
        <w:ind w:firstLine="480" w:firstLineChars="200"/>
        <w:rPr>
          <w:lang w:eastAsia="zh-CN"/>
        </w:rPr>
      </w:pPr>
      <w:r>
        <w:rPr>
          <w:rFonts w:hint="eastAsia" w:cs="宋体" w:asciiTheme="minorEastAsia" w:hAnsiTheme="minorEastAsia" w:eastAsiaTheme="minorEastAsia"/>
          <w:sz w:val="24"/>
          <w:szCs w:val="24"/>
          <w:lang w:eastAsia="zh-CN"/>
        </w:rPr>
        <w:t>苏锡常南部高速公司与快鹿公司进行的日常关联交易的协议期限及协议最高金额如下：</w:t>
      </w:r>
    </w:p>
    <w:p>
      <w:pPr>
        <w:adjustRightInd w:val="0"/>
        <w:snapToGrid w:val="0"/>
        <w:spacing w:before="156" w:beforeLines="50" w:after="156" w:afterLines="50" w:line="360" w:lineRule="auto"/>
        <w:ind w:firstLine="480" w:firstLineChars="20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45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2415"/>
        <w:gridCol w:w="1740"/>
        <w:gridCol w:w="1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Borders>
              <w:insideV w:val="nil"/>
            </w:tcBorders>
            <w:noWrap/>
          </w:tcPr>
          <w:p>
            <w:pPr>
              <w:adjustRightInd w:val="0"/>
              <w:snapToGrid w:val="0"/>
              <w:spacing w:before="156" w:beforeLines="50" w:after="156" w:afterLines="50" w:line="360" w:lineRule="auto"/>
              <w:jc w:val="center"/>
              <w:rPr>
                <w:rFonts w:cs="宋体" w:asciiTheme="minorEastAsia" w:hAnsiTheme="minorEastAsia" w:eastAsiaTheme="minorEastAsia"/>
                <w:b/>
                <w:bCs/>
                <w:color w:val="auto"/>
                <w:sz w:val="24"/>
                <w:szCs w:val="24"/>
                <w:lang w:eastAsia="zh-CN"/>
              </w:rPr>
            </w:pPr>
            <w:r>
              <w:rPr>
                <w:rFonts w:hint="eastAsia" w:cs="宋体" w:asciiTheme="minorEastAsia" w:hAnsiTheme="minorEastAsia" w:eastAsiaTheme="minorEastAsia"/>
                <w:b/>
                <w:bCs/>
                <w:color w:val="auto"/>
                <w:sz w:val="24"/>
                <w:szCs w:val="24"/>
                <w:lang w:eastAsia="zh-CN"/>
              </w:rPr>
              <w:t>项目</w:t>
            </w:r>
          </w:p>
        </w:tc>
        <w:tc>
          <w:tcPr>
            <w:tcW w:w="1540" w:type="pct"/>
            <w:tcBorders>
              <w:insideV w:val="nil"/>
            </w:tcBorders>
          </w:tcPr>
          <w:p>
            <w:pPr>
              <w:adjustRightInd w:val="0"/>
              <w:snapToGrid w:val="0"/>
              <w:spacing w:before="156" w:beforeLines="50" w:after="156" w:afterLines="50" w:line="360" w:lineRule="auto"/>
              <w:jc w:val="center"/>
              <w:rPr>
                <w:rFonts w:cs="宋体" w:asciiTheme="minorEastAsia" w:hAnsiTheme="minorEastAsia" w:eastAsiaTheme="minorEastAsia"/>
                <w:b/>
                <w:bCs/>
                <w:color w:val="auto"/>
                <w:sz w:val="24"/>
                <w:szCs w:val="24"/>
                <w:lang w:eastAsia="zh-CN"/>
              </w:rPr>
            </w:pPr>
            <w:r>
              <w:rPr>
                <w:rFonts w:hint="eastAsia" w:cs="宋体" w:asciiTheme="minorEastAsia" w:hAnsiTheme="minorEastAsia" w:eastAsiaTheme="minorEastAsia"/>
                <w:b/>
                <w:bCs/>
                <w:color w:val="auto"/>
                <w:sz w:val="24"/>
                <w:szCs w:val="24"/>
                <w:lang w:eastAsia="zh-CN"/>
              </w:rPr>
              <w:t>履约期限</w:t>
            </w:r>
          </w:p>
        </w:tc>
        <w:tc>
          <w:tcPr>
            <w:tcW w:w="1109" w:type="pct"/>
            <w:tcBorders>
              <w:insideV w:val="nil"/>
            </w:tcBorders>
          </w:tcPr>
          <w:p>
            <w:pPr>
              <w:adjustRightInd w:val="0"/>
              <w:snapToGrid w:val="0"/>
              <w:spacing w:before="156" w:beforeLines="50" w:after="156" w:afterLines="50" w:line="360" w:lineRule="auto"/>
              <w:jc w:val="center"/>
              <w:rPr>
                <w:rFonts w:cs="宋体" w:asciiTheme="minorEastAsia" w:hAnsiTheme="minorEastAsia" w:eastAsiaTheme="minorEastAsia"/>
                <w:b/>
                <w:bCs/>
                <w:color w:val="auto"/>
                <w:sz w:val="24"/>
                <w:szCs w:val="24"/>
                <w:lang w:eastAsia="zh-CN"/>
              </w:rPr>
            </w:pPr>
            <w:r>
              <w:rPr>
                <w:rFonts w:cs="宋体" w:asciiTheme="minorEastAsia" w:hAnsiTheme="minorEastAsia" w:eastAsiaTheme="minorEastAsia"/>
                <w:b/>
                <w:bCs/>
                <w:color w:val="auto"/>
                <w:sz w:val="24"/>
                <w:szCs w:val="24"/>
                <w:lang w:eastAsia="zh-CN"/>
              </w:rPr>
              <w:t>2024</w:t>
            </w:r>
            <w:r>
              <w:rPr>
                <w:rFonts w:hint="eastAsia" w:cs="宋体" w:asciiTheme="minorEastAsia" w:hAnsiTheme="minorEastAsia" w:eastAsiaTheme="minorEastAsia"/>
                <w:b/>
                <w:bCs/>
                <w:color w:val="auto"/>
                <w:sz w:val="24"/>
                <w:szCs w:val="24"/>
                <w:lang w:eastAsia="zh-CN"/>
              </w:rPr>
              <w:t>年拟发生额</w:t>
            </w:r>
          </w:p>
        </w:tc>
        <w:tc>
          <w:tcPr>
            <w:tcW w:w="1100" w:type="pct"/>
            <w:tcBorders>
              <w:insideV w:val="nil"/>
            </w:tcBorders>
          </w:tcPr>
          <w:p>
            <w:pPr>
              <w:adjustRightInd w:val="0"/>
              <w:snapToGrid w:val="0"/>
              <w:spacing w:before="156" w:beforeLines="50" w:after="156" w:afterLines="50" w:line="360" w:lineRule="auto"/>
              <w:jc w:val="center"/>
              <w:rPr>
                <w:rFonts w:cs="宋体" w:asciiTheme="minorEastAsia" w:hAnsiTheme="minorEastAsia" w:eastAsiaTheme="minorEastAsia"/>
                <w:b/>
                <w:bCs/>
                <w:color w:val="auto"/>
                <w:sz w:val="24"/>
                <w:szCs w:val="24"/>
                <w:lang w:eastAsia="zh-CN"/>
              </w:rPr>
            </w:pPr>
            <w:r>
              <w:rPr>
                <w:rFonts w:cs="宋体" w:asciiTheme="minorEastAsia" w:hAnsiTheme="minorEastAsia" w:eastAsiaTheme="minorEastAsia"/>
                <w:b/>
                <w:bCs/>
                <w:color w:val="auto"/>
                <w:sz w:val="24"/>
                <w:szCs w:val="24"/>
                <w:lang w:eastAsia="zh-CN"/>
              </w:rPr>
              <w:t>2023</w:t>
            </w:r>
            <w:r>
              <w:rPr>
                <w:rFonts w:hint="eastAsia" w:cs="宋体" w:asciiTheme="minorEastAsia" w:hAnsiTheme="minorEastAsia" w:eastAsiaTheme="minorEastAsia"/>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noWrap/>
          </w:tcPr>
          <w:p>
            <w:pPr>
              <w:adjustRightInd w:val="0"/>
              <w:snapToGrid w:val="0"/>
              <w:spacing w:before="156" w:beforeLines="50" w:after="156" w:afterLines="50" w:line="360" w:lineRule="auto"/>
              <w:jc w:val="center"/>
              <w:rPr>
                <w:rFonts w:cs="宋体"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通勤班车服务</w:t>
            </w:r>
          </w:p>
        </w:tc>
        <w:tc>
          <w:tcPr>
            <w:tcW w:w="1540" w:type="pct"/>
          </w:tcPr>
          <w:p>
            <w:pPr>
              <w:adjustRightInd w:val="0"/>
              <w:snapToGrid w:val="0"/>
              <w:spacing w:before="156" w:beforeLines="50" w:after="156" w:afterLines="50" w:line="360" w:lineRule="auto"/>
              <w:jc w:val="center"/>
              <w:rPr>
                <w:rFonts w:cs="宋体" w:asciiTheme="minorEastAsia" w:hAnsiTheme="minorEastAsia" w:eastAsiaTheme="minorEastAsia"/>
                <w:color w:val="auto"/>
                <w:sz w:val="24"/>
                <w:szCs w:val="24"/>
                <w:lang w:eastAsia="zh-CN"/>
              </w:rPr>
            </w:pPr>
            <w:r>
              <w:rPr>
                <w:rFonts w:cs="宋体" w:asciiTheme="minorEastAsia" w:hAnsiTheme="minorEastAsia" w:eastAsiaTheme="minorEastAsia"/>
                <w:iCs/>
                <w:color w:val="auto"/>
                <w:sz w:val="24"/>
                <w:szCs w:val="24"/>
                <w:lang w:eastAsia="zh-CN"/>
              </w:rPr>
              <w:t>2023</w:t>
            </w:r>
            <w:r>
              <w:rPr>
                <w:rFonts w:hint="eastAsia" w:cs="宋体" w:asciiTheme="minorEastAsia" w:hAnsiTheme="minorEastAsia" w:eastAsiaTheme="minorEastAsia"/>
                <w:iCs/>
                <w:color w:val="auto"/>
                <w:sz w:val="24"/>
                <w:szCs w:val="24"/>
                <w:lang w:eastAsia="zh-CN"/>
              </w:rPr>
              <w:t>年</w:t>
            </w:r>
            <w:r>
              <w:rPr>
                <w:rFonts w:cs="宋体" w:asciiTheme="minorEastAsia" w:hAnsiTheme="minorEastAsia" w:eastAsiaTheme="minorEastAsia"/>
                <w:iCs/>
                <w:color w:val="auto"/>
                <w:sz w:val="24"/>
                <w:szCs w:val="24"/>
                <w:lang w:eastAsia="zh-CN"/>
              </w:rPr>
              <w:t>5</w:t>
            </w:r>
            <w:r>
              <w:rPr>
                <w:rFonts w:hint="eastAsia" w:cs="宋体" w:asciiTheme="minorEastAsia" w:hAnsiTheme="minorEastAsia" w:eastAsiaTheme="minorEastAsia"/>
                <w:iCs/>
                <w:color w:val="auto"/>
                <w:sz w:val="24"/>
                <w:szCs w:val="24"/>
                <w:lang w:eastAsia="zh-CN"/>
              </w:rPr>
              <w:t>月</w:t>
            </w:r>
            <w:r>
              <w:rPr>
                <w:rFonts w:cs="宋体" w:asciiTheme="minorEastAsia" w:hAnsiTheme="minorEastAsia" w:eastAsiaTheme="minorEastAsia"/>
                <w:iCs/>
                <w:color w:val="auto"/>
                <w:sz w:val="24"/>
                <w:szCs w:val="24"/>
                <w:lang w:eastAsia="zh-CN"/>
              </w:rPr>
              <w:t>1</w:t>
            </w:r>
            <w:r>
              <w:rPr>
                <w:rFonts w:hint="eastAsia" w:cs="宋体" w:asciiTheme="minorEastAsia" w:hAnsiTheme="minorEastAsia" w:eastAsiaTheme="minorEastAsia"/>
                <w:iCs/>
                <w:color w:val="auto"/>
                <w:sz w:val="24"/>
                <w:szCs w:val="24"/>
                <w:lang w:eastAsia="zh-CN"/>
              </w:rPr>
              <w:t>日至</w:t>
            </w:r>
            <w:r>
              <w:rPr>
                <w:rFonts w:cs="宋体" w:asciiTheme="minorEastAsia" w:hAnsiTheme="minorEastAsia" w:eastAsiaTheme="minorEastAsia"/>
                <w:iCs/>
                <w:color w:val="auto"/>
                <w:sz w:val="24"/>
                <w:szCs w:val="24"/>
                <w:lang w:eastAsia="zh-CN"/>
              </w:rPr>
              <w:t>2024</w:t>
            </w:r>
            <w:r>
              <w:rPr>
                <w:rFonts w:hint="eastAsia" w:cs="宋体" w:asciiTheme="minorEastAsia" w:hAnsiTheme="minorEastAsia" w:eastAsiaTheme="minorEastAsia"/>
                <w:iCs/>
                <w:color w:val="auto"/>
                <w:sz w:val="24"/>
                <w:szCs w:val="24"/>
                <w:lang w:eastAsia="zh-CN"/>
              </w:rPr>
              <w:t>年</w:t>
            </w:r>
            <w:r>
              <w:rPr>
                <w:rFonts w:cs="宋体" w:asciiTheme="minorEastAsia" w:hAnsiTheme="minorEastAsia" w:eastAsiaTheme="minorEastAsia"/>
                <w:iCs/>
                <w:color w:val="auto"/>
                <w:sz w:val="24"/>
                <w:szCs w:val="24"/>
                <w:lang w:eastAsia="zh-CN"/>
              </w:rPr>
              <w:t>4</w:t>
            </w:r>
            <w:r>
              <w:rPr>
                <w:rFonts w:hint="eastAsia" w:cs="宋体" w:asciiTheme="minorEastAsia" w:hAnsiTheme="minorEastAsia" w:eastAsiaTheme="minorEastAsia"/>
                <w:iCs/>
                <w:color w:val="auto"/>
                <w:sz w:val="24"/>
                <w:szCs w:val="24"/>
                <w:lang w:eastAsia="zh-CN"/>
              </w:rPr>
              <w:t>月</w:t>
            </w:r>
            <w:r>
              <w:rPr>
                <w:rFonts w:cs="宋体" w:asciiTheme="minorEastAsia" w:hAnsiTheme="minorEastAsia" w:eastAsiaTheme="minorEastAsia"/>
                <w:iCs/>
                <w:color w:val="auto"/>
                <w:sz w:val="24"/>
                <w:szCs w:val="24"/>
                <w:lang w:eastAsia="zh-CN"/>
              </w:rPr>
              <w:t>30</w:t>
            </w:r>
            <w:r>
              <w:rPr>
                <w:rFonts w:hint="eastAsia" w:cs="宋体" w:asciiTheme="minorEastAsia" w:hAnsiTheme="minorEastAsia" w:eastAsiaTheme="minorEastAsia"/>
                <w:iCs/>
                <w:color w:val="auto"/>
                <w:sz w:val="24"/>
                <w:szCs w:val="24"/>
                <w:lang w:eastAsia="zh-CN"/>
              </w:rPr>
              <w:t>日</w:t>
            </w:r>
          </w:p>
        </w:tc>
        <w:tc>
          <w:tcPr>
            <w:tcW w:w="1109" w:type="pct"/>
          </w:tcPr>
          <w:p>
            <w:pPr>
              <w:adjustRightInd w:val="0"/>
              <w:snapToGrid w:val="0"/>
              <w:spacing w:before="156" w:beforeLines="50" w:after="156" w:afterLines="50" w:line="360" w:lineRule="auto"/>
              <w:jc w:val="center"/>
              <w:rPr>
                <w:rFonts w:cs="宋体" w:asciiTheme="minorEastAsia" w:hAnsiTheme="minorEastAsia" w:eastAsiaTheme="minorEastAsia"/>
                <w:color w:val="auto"/>
                <w:sz w:val="24"/>
                <w:szCs w:val="24"/>
                <w:lang w:eastAsia="zh-CN"/>
              </w:rPr>
            </w:pPr>
            <w:r>
              <w:rPr>
                <w:rFonts w:cs="宋体" w:asciiTheme="minorEastAsia" w:hAnsiTheme="minorEastAsia" w:eastAsiaTheme="minorEastAsia"/>
                <w:iCs/>
                <w:color w:val="auto"/>
                <w:sz w:val="24"/>
                <w:szCs w:val="24"/>
                <w:lang w:eastAsia="zh-CN"/>
              </w:rPr>
              <w:t>1,046,580</w:t>
            </w:r>
          </w:p>
        </w:tc>
        <w:tc>
          <w:tcPr>
            <w:tcW w:w="1100" w:type="pct"/>
          </w:tcPr>
          <w:p>
            <w:pPr>
              <w:adjustRightInd w:val="0"/>
              <w:snapToGrid w:val="0"/>
              <w:spacing w:before="156" w:beforeLines="50" w:after="156" w:afterLines="50" w:line="360" w:lineRule="auto"/>
              <w:jc w:val="center"/>
              <w:rPr>
                <w:rFonts w:cs="宋体" w:asciiTheme="minorEastAsia" w:hAnsiTheme="minorEastAsia" w:eastAsiaTheme="minorEastAsia"/>
                <w:color w:val="auto"/>
                <w:sz w:val="24"/>
                <w:szCs w:val="24"/>
                <w:lang w:eastAsia="zh-CN"/>
              </w:rPr>
            </w:pPr>
            <w:r>
              <w:rPr>
                <w:rFonts w:cs="宋体" w:asciiTheme="minorEastAsia" w:hAnsiTheme="minorEastAsia" w:eastAsiaTheme="minorEastAsia"/>
                <w:iCs/>
                <w:color w:val="auto"/>
                <w:sz w:val="24"/>
                <w:szCs w:val="24"/>
                <w:lang w:eastAsia="zh-CN"/>
              </w:rPr>
              <w:t>2,093,000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Borders>
              <w:insideV w:val="nil"/>
            </w:tcBorders>
            <w:noWrap/>
          </w:tcPr>
          <w:p>
            <w:pPr>
              <w:adjustRightInd w:val="0"/>
              <w:snapToGrid w:val="0"/>
              <w:spacing w:before="156" w:beforeLines="50" w:after="156" w:afterLines="50" w:line="360" w:lineRule="auto"/>
              <w:ind w:firstLine="482" w:firstLineChars="200"/>
              <w:jc w:val="center"/>
              <w:rPr>
                <w:rFonts w:cs="宋体" w:asciiTheme="minorEastAsia" w:hAnsiTheme="minorEastAsia" w:eastAsiaTheme="minorEastAsia"/>
                <w:b/>
                <w:bCs/>
                <w:color w:val="auto"/>
                <w:sz w:val="24"/>
                <w:szCs w:val="24"/>
                <w:lang w:eastAsia="zh-CN"/>
              </w:rPr>
            </w:pPr>
            <w:r>
              <w:rPr>
                <w:rFonts w:hint="eastAsia" w:cs="宋体" w:asciiTheme="minorEastAsia" w:hAnsiTheme="minorEastAsia" w:eastAsiaTheme="minorEastAsia"/>
                <w:b/>
                <w:bCs w:val="0"/>
                <w:color w:val="auto"/>
                <w:sz w:val="24"/>
                <w:szCs w:val="24"/>
                <w:lang w:eastAsia="zh-CN"/>
              </w:rPr>
              <w:t>总计</w:t>
            </w:r>
          </w:p>
        </w:tc>
        <w:tc>
          <w:tcPr>
            <w:tcW w:w="1540" w:type="pct"/>
            <w:tcBorders>
              <w:insideV w:val="nil"/>
            </w:tcBorders>
          </w:tcPr>
          <w:p>
            <w:pPr>
              <w:adjustRightInd w:val="0"/>
              <w:snapToGrid w:val="0"/>
              <w:spacing w:before="156" w:beforeLines="50" w:after="156" w:afterLines="50" w:line="360" w:lineRule="auto"/>
              <w:ind w:firstLine="482" w:firstLineChars="200"/>
              <w:jc w:val="center"/>
              <w:rPr>
                <w:rFonts w:cs="宋体" w:asciiTheme="minorEastAsia" w:hAnsiTheme="minorEastAsia" w:eastAsiaTheme="minorEastAsia"/>
                <w:b/>
                <w:bCs w:val="0"/>
                <w:color w:val="auto"/>
                <w:sz w:val="24"/>
                <w:szCs w:val="24"/>
                <w:lang w:eastAsia="zh-CN"/>
              </w:rPr>
            </w:pPr>
          </w:p>
        </w:tc>
        <w:tc>
          <w:tcPr>
            <w:tcW w:w="1109" w:type="pct"/>
            <w:tcBorders>
              <w:insideV w:val="nil"/>
            </w:tcBorders>
          </w:tcPr>
          <w:p>
            <w:pPr>
              <w:adjustRightInd w:val="0"/>
              <w:snapToGrid w:val="0"/>
              <w:spacing w:before="156" w:beforeLines="50" w:after="156" w:afterLines="50" w:line="360" w:lineRule="auto"/>
              <w:jc w:val="center"/>
              <w:rPr>
                <w:rFonts w:cs="宋体" w:asciiTheme="minorEastAsia" w:hAnsiTheme="minorEastAsia" w:eastAsiaTheme="minorEastAsia"/>
                <w:b/>
                <w:bCs w:val="0"/>
                <w:color w:val="auto"/>
                <w:sz w:val="24"/>
                <w:szCs w:val="24"/>
                <w:lang w:eastAsia="zh-CN"/>
              </w:rPr>
            </w:pPr>
            <w:r>
              <w:rPr>
                <w:rFonts w:cs="宋体" w:asciiTheme="minorEastAsia" w:hAnsiTheme="minorEastAsia" w:eastAsiaTheme="minorEastAsia"/>
                <w:b/>
                <w:bCs w:val="0"/>
                <w:color w:val="auto"/>
                <w:sz w:val="24"/>
                <w:szCs w:val="24"/>
                <w:lang w:eastAsia="zh-CN"/>
              </w:rPr>
              <w:t>1,046,580</w:t>
            </w:r>
          </w:p>
        </w:tc>
        <w:tc>
          <w:tcPr>
            <w:tcW w:w="1100" w:type="pct"/>
            <w:tcBorders>
              <w:insideV w:val="nil"/>
            </w:tcBorders>
          </w:tcPr>
          <w:p>
            <w:pPr>
              <w:adjustRightInd w:val="0"/>
              <w:snapToGrid w:val="0"/>
              <w:spacing w:before="156" w:beforeLines="50" w:after="156" w:afterLines="50" w:line="360" w:lineRule="auto"/>
              <w:jc w:val="center"/>
              <w:rPr>
                <w:rFonts w:cs="宋体" w:asciiTheme="minorEastAsia" w:hAnsiTheme="minorEastAsia" w:eastAsiaTheme="minorEastAsia"/>
                <w:b/>
                <w:bCs w:val="0"/>
                <w:color w:val="auto"/>
                <w:sz w:val="24"/>
                <w:szCs w:val="24"/>
                <w:lang w:eastAsia="zh-CN"/>
              </w:rPr>
            </w:pPr>
            <w:r>
              <w:rPr>
                <w:rFonts w:cs="宋体" w:asciiTheme="minorEastAsia" w:hAnsiTheme="minorEastAsia" w:eastAsiaTheme="minorEastAsia"/>
                <w:b/>
                <w:bCs w:val="0"/>
                <w:color w:val="auto"/>
                <w:sz w:val="24"/>
                <w:szCs w:val="24"/>
                <w:lang w:eastAsia="zh-CN"/>
              </w:rPr>
              <w:t>2,093,000</w:t>
            </w:r>
          </w:p>
        </w:tc>
      </w:tr>
    </w:tbl>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通勤班车服务费用是通过询价比价的方式定价的。协议的费用在接受有关服务后，苏锡常南部高速公司每季度以自有资金或符合资金用途的融资款项自行拨付。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(6)</w:t>
      </w:r>
      <w:r>
        <w:rPr>
          <w:rFonts w:hint="eastAsia" w:cs="宋体" w:asciiTheme="minorEastAsia" w:hAnsiTheme="minorEastAsia" w:eastAsiaTheme="minorEastAsia"/>
          <w:sz w:val="24"/>
          <w:szCs w:val="24"/>
          <w:lang w:eastAsia="zh-CN"/>
        </w:rPr>
        <w:t>江苏交控商业运营管理有限公司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苏锡常南部高速公司与江苏交控商业运营管理有限公司（以下简称“交控商运公司”）进行的日常关联交易的协议期限及协议最高金额如下：</w:t>
      </w:r>
    </w:p>
    <w:p>
      <w:pPr>
        <w:autoSpaceDE w:val="0"/>
        <w:autoSpaceDN w:val="0"/>
        <w:adjustRightInd w:val="0"/>
        <w:spacing w:line="360" w:lineRule="auto"/>
        <w:ind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43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1498"/>
        <w:gridCol w:w="1498"/>
        <w:gridCol w:w="1498"/>
        <w:gridCol w:w="1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999" w:type="pct"/>
            <w:tcBorders>
              <w:insideV w:val="nil"/>
            </w:tcBorders>
            <w:noWrap/>
            <w:vAlign w:val="center"/>
          </w:tcPr>
          <w:p>
            <w:pPr>
              <w:spacing w:line="360" w:lineRule="auto"/>
              <w:jc w:val="center"/>
              <w:rPr>
                <w:rFonts w:ascii="宋体" w:hAnsi="宋体" w:eastAsia="宋体" w:cstheme="minorBidi"/>
                <w:b/>
                <w:bCs/>
                <w:color w:val="auto"/>
                <w:sz w:val="24"/>
                <w:szCs w:val="24"/>
              </w:rPr>
            </w:pPr>
            <w:r>
              <w:rPr>
                <w:rFonts w:hint="eastAsia" w:ascii="宋体" w:hAnsi="宋体" w:eastAsia="宋体" w:cstheme="minorBidi"/>
                <w:b/>
                <w:bCs/>
                <w:color w:val="auto"/>
                <w:sz w:val="24"/>
                <w:szCs w:val="24"/>
                <w:lang w:eastAsia="zh-CN"/>
              </w:rPr>
              <w:t>项目</w:t>
            </w:r>
          </w:p>
        </w:tc>
        <w:tc>
          <w:tcPr>
            <w:tcW w:w="999" w:type="pct"/>
            <w:tcBorders>
              <w:insideV w:val="nil"/>
            </w:tcBorders>
            <w:vAlign w:val="center"/>
          </w:tcPr>
          <w:p>
            <w:pPr>
              <w:spacing w:line="360" w:lineRule="auto"/>
              <w:jc w:val="center"/>
              <w:rPr>
                <w:rFonts w:ascii="宋体" w:hAnsi="宋体" w:eastAsia="宋体" w:cstheme="minorBidi"/>
                <w:b/>
                <w:bCs/>
                <w:color w:val="auto"/>
                <w:sz w:val="24"/>
                <w:szCs w:val="24"/>
              </w:rPr>
            </w:pPr>
            <w:r>
              <w:rPr>
                <w:rFonts w:hint="eastAsia" w:ascii="宋体" w:hAnsi="宋体" w:eastAsia="宋体" w:cstheme="minorBidi"/>
                <w:b/>
                <w:bCs/>
                <w:color w:val="auto"/>
                <w:sz w:val="24"/>
                <w:szCs w:val="24"/>
                <w:lang w:eastAsia="zh-CN"/>
              </w:rPr>
              <w:t>履约期限</w:t>
            </w:r>
          </w:p>
        </w:tc>
        <w:tc>
          <w:tcPr>
            <w:tcW w:w="999" w:type="pct"/>
            <w:tcBorders>
              <w:insideV w:val="nil"/>
            </w:tcBorders>
            <w:vAlign w:val="center"/>
          </w:tcPr>
          <w:p>
            <w:pPr>
              <w:spacing w:line="360" w:lineRule="auto"/>
              <w:jc w:val="center"/>
              <w:rPr>
                <w:rFonts w:ascii="宋体" w:hAnsi="宋体" w:eastAsia="宋体" w:cstheme="minorBidi"/>
                <w:b/>
                <w:bCs/>
                <w:color w:val="auto"/>
                <w:sz w:val="24"/>
                <w:szCs w:val="24"/>
              </w:rPr>
            </w:pPr>
            <w:r>
              <w:rPr>
                <w:rFonts w:ascii="宋体" w:hAnsi="宋体" w:eastAsia="宋体" w:cstheme="minorBidi"/>
                <w:b/>
                <w:bCs/>
                <w:color w:val="auto"/>
                <w:sz w:val="24"/>
                <w:szCs w:val="24"/>
                <w:lang w:eastAsia="zh-CN"/>
              </w:rPr>
              <w:t>2024</w:t>
            </w:r>
            <w:r>
              <w:rPr>
                <w:rFonts w:hint="eastAsia" w:ascii="宋体" w:hAnsi="宋体" w:eastAsia="宋体" w:cstheme="minorBidi"/>
                <w:b/>
                <w:bCs/>
                <w:color w:val="auto"/>
                <w:sz w:val="24"/>
                <w:szCs w:val="24"/>
                <w:lang w:eastAsia="zh-CN"/>
              </w:rPr>
              <w:t>年拟发生额</w:t>
            </w:r>
          </w:p>
        </w:tc>
        <w:tc>
          <w:tcPr>
            <w:tcW w:w="999" w:type="pct"/>
            <w:tcBorders>
              <w:insideV w:val="nil"/>
            </w:tcBorders>
            <w:vAlign w:val="center"/>
          </w:tcPr>
          <w:p>
            <w:pPr>
              <w:spacing w:line="360" w:lineRule="auto"/>
              <w:jc w:val="center"/>
              <w:rPr>
                <w:rFonts w:ascii="宋体" w:hAnsi="宋体" w:eastAsia="宋体" w:cstheme="minorBidi"/>
                <w:b/>
                <w:bCs/>
                <w:color w:val="auto"/>
                <w:sz w:val="24"/>
                <w:szCs w:val="24"/>
              </w:rPr>
            </w:pPr>
            <w:r>
              <w:rPr>
                <w:rFonts w:ascii="宋体" w:hAnsi="宋体" w:eastAsia="宋体" w:cstheme="minorBidi"/>
                <w:b/>
                <w:bCs/>
                <w:color w:val="auto"/>
                <w:sz w:val="24"/>
                <w:szCs w:val="24"/>
                <w:lang w:eastAsia="zh-CN"/>
              </w:rPr>
              <w:t>2023</w:t>
            </w:r>
            <w:r>
              <w:rPr>
                <w:rFonts w:hint="eastAsia" w:ascii="宋体" w:hAnsi="宋体" w:eastAsia="宋体" w:cstheme="minorBidi"/>
                <w:b/>
                <w:bCs/>
                <w:color w:val="auto"/>
                <w:sz w:val="24"/>
                <w:szCs w:val="24"/>
                <w:lang w:eastAsia="zh-CN"/>
              </w:rPr>
              <w:t>年已发生额</w:t>
            </w:r>
          </w:p>
        </w:tc>
        <w:tc>
          <w:tcPr>
            <w:tcW w:w="1000" w:type="pct"/>
            <w:tcBorders>
              <w:insideV w:val="nil"/>
            </w:tcBorders>
            <w:vAlign w:val="center"/>
          </w:tcPr>
          <w:p>
            <w:pPr>
              <w:spacing w:line="360" w:lineRule="auto"/>
              <w:jc w:val="center"/>
              <w:rPr>
                <w:rFonts w:ascii="宋体" w:hAnsi="宋体" w:eastAsia="宋体" w:cstheme="minorBidi"/>
                <w:b/>
                <w:bCs/>
                <w:color w:val="auto"/>
                <w:sz w:val="24"/>
                <w:szCs w:val="24"/>
              </w:rPr>
            </w:pPr>
            <w:r>
              <w:rPr>
                <w:rFonts w:ascii="宋体" w:hAnsi="宋体" w:eastAsia="宋体" w:cstheme="minorBidi"/>
                <w:b/>
                <w:bCs/>
                <w:color w:val="auto"/>
                <w:sz w:val="24"/>
                <w:szCs w:val="24"/>
                <w:lang w:eastAsia="zh-CN"/>
              </w:rPr>
              <w:t>2022</w:t>
            </w:r>
            <w:r>
              <w:rPr>
                <w:rFonts w:hint="eastAsia" w:ascii="宋体" w:hAnsi="宋体" w:eastAsia="宋体" w:cstheme="minorBidi"/>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jc w:val="center"/>
        </w:trPr>
        <w:tc>
          <w:tcPr>
            <w:tcW w:w="999" w:type="pct"/>
            <w:noWrap/>
            <w:vAlign w:val="center"/>
          </w:tcPr>
          <w:p>
            <w:pPr>
              <w:spacing w:line="360" w:lineRule="auto"/>
              <w:jc w:val="center"/>
              <w:rPr>
                <w:rFonts w:ascii="宋体" w:hAnsi="宋体" w:eastAsia="宋体" w:cstheme="minorBidi"/>
                <w:color w:val="auto"/>
                <w:sz w:val="24"/>
                <w:szCs w:val="24"/>
                <w:lang w:eastAsia="zh-TW"/>
              </w:rPr>
            </w:pPr>
            <w:r>
              <w:rPr>
                <w:rFonts w:hint="eastAsia" w:ascii="宋体" w:hAnsi="宋体" w:eastAsia="宋体" w:cs="宋体"/>
                <w:color w:val="auto"/>
                <w:sz w:val="24"/>
                <w:szCs w:val="24"/>
                <w:lang w:eastAsia="zh-CN"/>
              </w:rPr>
              <w:t>车辆的运行管理外包服务</w:t>
            </w:r>
          </w:p>
        </w:tc>
        <w:tc>
          <w:tcPr>
            <w:tcW w:w="999" w:type="pct"/>
            <w:vAlign w:val="center"/>
          </w:tcPr>
          <w:p>
            <w:pPr>
              <w:pStyle w:val="35"/>
              <w:spacing w:line="360" w:lineRule="auto"/>
              <w:jc w:val="center"/>
              <w:rPr>
                <w:rFonts w:ascii="宋体" w:hAnsi="宋体" w:eastAsia="宋体" w:cstheme="minorBidi"/>
                <w:color w:val="auto"/>
                <w:sz w:val="24"/>
                <w:szCs w:val="24"/>
              </w:rPr>
            </w:pPr>
            <w:r>
              <w:rPr>
                <w:rStyle w:val="36"/>
                <w:rFonts w:ascii="宋体" w:hAnsi="宋体" w:eastAsia="宋体" w:cstheme="minorBidi"/>
                <w:i w:val="0"/>
                <w:color w:val="auto"/>
                <w:sz w:val="24"/>
                <w:szCs w:val="24"/>
                <w:lang w:eastAsia="zh-CN"/>
              </w:rPr>
              <w:t>2023</w:t>
            </w:r>
            <w:r>
              <w:rPr>
                <w:rStyle w:val="36"/>
                <w:rFonts w:hint="eastAsia" w:ascii="宋体" w:hAnsi="宋体" w:eastAsia="宋体" w:cstheme="minorBidi"/>
                <w:i w:val="0"/>
                <w:color w:val="auto"/>
                <w:sz w:val="24"/>
                <w:szCs w:val="24"/>
                <w:lang w:eastAsia="zh-CN"/>
              </w:rPr>
              <w:t>年</w:t>
            </w:r>
            <w:r>
              <w:rPr>
                <w:rStyle w:val="36"/>
                <w:rFonts w:ascii="宋体" w:hAnsi="宋体" w:eastAsia="宋体" w:cstheme="minorBidi"/>
                <w:i w:val="0"/>
                <w:color w:val="auto"/>
                <w:sz w:val="24"/>
                <w:szCs w:val="24"/>
                <w:lang w:eastAsia="zh-CN"/>
              </w:rPr>
              <w:t>10</w:t>
            </w:r>
            <w:r>
              <w:rPr>
                <w:rStyle w:val="36"/>
                <w:rFonts w:hint="eastAsia" w:ascii="宋体" w:hAnsi="宋体" w:eastAsia="宋体" w:cstheme="minorBidi"/>
                <w:i w:val="0"/>
                <w:color w:val="auto"/>
                <w:sz w:val="24"/>
                <w:szCs w:val="24"/>
                <w:lang w:eastAsia="zh-CN"/>
              </w:rPr>
              <w:t>月</w:t>
            </w:r>
            <w:r>
              <w:rPr>
                <w:rStyle w:val="36"/>
                <w:rFonts w:ascii="宋体" w:hAnsi="宋体" w:eastAsia="宋体" w:cstheme="minorBidi"/>
                <w:i w:val="0"/>
                <w:color w:val="auto"/>
                <w:sz w:val="24"/>
                <w:szCs w:val="24"/>
                <w:lang w:eastAsia="zh-CN"/>
              </w:rPr>
              <w:t>1</w:t>
            </w:r>
            <w:r>
              <w:rPr>
                <w:rStyle w:val="36"/>
                <w:rFonts w:hint="eastAsia" w:ascii="宋体" w:hAnsi="宋体" w:eastAsia="宋体" w:cstheme="minorBidi"/>
                <w:i w:val="0"/>
                <w:color w:val="auto"/>
                <w:sz w:val="24"/>
                <w:szCs w:val="24"/>
                <w:lang w:eastAsia="zh-CN"/>
              </w:rPr>
              <w:t>日至</w:t>
            </w:r>
            <w:r>
              <w:rPr>
                <w:rStyle w:val="36"/>
                <w:rFonts w:ascii="宋体" w:hAnsi="宋体" w:eastAsia="宋体" w:cstheme="minorBidi"/>
                <w:i w:val="0"/>
                <w:color w:val="auto"/>
                <w:sz w:val="24"/>
                <w:szCs w:val="24"/>
                <w:lang w:eastAsia="zh-CN"/>
              </w:rPr>
              <w:t>2024</w:t>
            </w:r>
            <w:r>
              <w:rPr>
                <w:rStyle w:val="36"/>
                <w:rFonts w:hint="eastAsia" w:ascii="宋体" w:hAnsi="宋体" w:eastAsia="宋体" w:cstheme="minorBidi"/>
                <w:i w:val="0"/>
                <w:color w:val="auto"/>
                <w:sz w:val="24"/>
                <w:szCs w:val="24"/>
                <w:lang w:eastAsia="zh-CN"/>
              </w:rPr>
              <w:t>年</w:t>
            </w:r>
            <w:r>
              <w:rPr>
                <w:rStyle w:val="36"/>
                <w:rFonts w:ascii="宋体" w:hAnsi="宋体" w:eastAsia="宋体" w:cstheme="minorBidi"/>
                <w:i w:val="0"/>
                <w:color w:val="auto"/>
                <w:sz w:val="24"/>
                <w:szCs w:val="24"/>
                <w:lang w:eastAsia="zh-CN"/>
              </w:rPr>
              <w:t>4</w:t>
            </w:r>
            <w:r>
              <w:rPr>
                <w:rStyle w:val="36"/>
                <w:rFonts w:hint="eastAsia" w:ascii="宋体" w:hAnsi="宋体" w:eastAsia="宋体" w:cstheme="minorBidi"/>
                <w:i w:val="0"/>
                <w:color w:val="auto"/>
                <w:sz w:val="24"/>
                <w:szCs w:val="24"/>
                <w:lang w:eastAsia="zh-CN"/>
              </w:rPr>
              <w:t>月</w:t>
            </w:r>
            <w:r>
              <w:rPr>
                <w:rStyle w:val="36"/>
                <w:rFonts w:ascii="宋体" w:hAnsi="宋体" w:eastAsia="宋体" w:cstheme="minorBidi"/>
                <w:i w:val="0"/>
                <w:color w:val="auto"/>
                <w:sz w:val="24"/>
                <w:szCs w:val="24"/>
                <w:lang w:eastAsia="zh-CN"/>
              </w:rPr>
              <w:t>30</w:t>
            </w:r>
            <w:r>
              <w:rPr>
                <w:rStyle w:val="36"/>
                <w:rFonts w:hint="eastAsia" w:ascii="宋体" w:hAnsi="宋体" w:eastAsia="宋体" w:cstheme="minorBidi"/>
                <w:i w:val="0"/>
                <w:color w:val="auto"/>
                <w:sz w:val="24"/>
                <w:szCs w:val="24"/>
                <w:lang w:eastAsia="zh-CN"/>
              </w:rPr>
              <w:t>日</w:t>
            </w:r>
          </w:p>
        </w:tc>
        <w:tc>
          <w:tcPr>
            <w:tcW w:w="999" w:type="pct"/>
            <w:vAlign w:val="center"/>
          </w:tcPr>
          <w:p>
            <w:pPr>
              <w:pStyle w:val="35"/>
              <w:spacing w:line="360" w:lineRule="auto"/>
              <w:jc w:val="center"/>
              <w:rPr>
                <w:rFonts w:ascii="宋体" w:hAnsi="宋体" w:eastAsia="宋体" w:cstheme="minorBidi"/>
                <w:color w:val="auto"/>
                <w:sz w:val="24"/>
                <w:szCs w:val="24"/>
              </w:rPr>
            </w:pPr>
            <w:r>
              <w:rPr>
                <w:rStyle w:val="36"/>
                <w:rFonts w:ascii="宋体" w:hAnsi="宋体" w:eastAsia="宋体" w:cstheme="minorBidi"/>
                <w:i w:val="0"/>
                <w:color w:val="auto"/>
                <w:sz w:val="24"/>
                <w:szCs w:val="24"/>
                <w:lang w:eastAsia="zh-CN"/>
              </w:rPr>
              <w:t>179,500</w:t>
            </w:r>
          </w:p>
        </w:tc>
        <w:tc>
          <w:tcPr>
            <w:tcW w:w="999" w:type="pct"/>
            <w:vAlign w:val="center"/>
          </w:tcPr>
          <w:p>
            <w:pPr>
              <w:pStyle w:val="35"/>
              <w:spacing w:line="360" w:lineRule="auto"/>
              <w:jc w:val="center"/>
              <w:rPr>
                <w:rFonts w:ascii="宋体" w:hAnsi="宋体" w:eastAsia="宋体" w:cstheme="minorBidi"/>
                <w:color w:val="auto"/>
                <w:sz w:val="24"/>
                <w:szCs w:val="24"/>
              </w:rPr>
            </w:pPr>
            <w:r>
              <w:rPr>
                <w:rStyle w:val="36"/>
                <w:rFonts w:ascii="宋体" w:hAnsi="宋体" w:eastAsia="宋体" w:cstheme="minorBidi"/>
                <w:i w:val="0"/>
                <w:color w:val="auto"/>
                <w:sz w:val="24"/>
                <w:szCs w:val="24"/>
                <w:lang w:eastAsia="zh-CN"/>
              </w:rPr>
              <w:t>134,630</w:t>
            </w:r>
          </w:p>
        </w:tc>
        <w:tc>
          <w:tcPr>
            <w:tcW w:w="1000" w:type="pct"/>
            <w:vAlign w:val="center"/>
          </w:tcPr>
          <w:p>
            <w:pPr>
              <w:pStyle w:val="35"/>
              <w:spacing w:line="360" w:lineRule="auto"/>
              <w:jc w:val="center"/>
              <w:rPr>
                <w:rFonts w:ascii="宋体" w:hAnsi="宋体" w:eastAsia="宋体" w:cstheme="minorBidi"/>
                <w:color w:val="auto"/>
                <w:sz w:val="24"/>
                <w:szCs w:val="24"/>
                <w:lang w:eastAsia="zh-CN"/>
              </w:rPr>
            </w:pPr>
            <w:r>
              <w:rPr>
                <w:rFonts w:hint="eastAsia" w:ascii="宋体" w:hAnsi="宋体" w:eastAsia="宋体" w:cstheme="minorBidi"/>
                <w:color w:val="auto"/>
                <w:sz w:val="24"/>
                <w:szCs w:val="24"/>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99" w:type="pct"/>
            <w:tcBorders>
              <w:insideV w:val="nil"/>
            </w:tcBorders>
            <w:noWrap/>
            <w:vAlign w:val="center"/>
          </w:tcPr>
          <w:p>
            <w:pPr>
              <w:spacing w:line="360" w:lineRule="auto"/>
              <w:jc w:val="center"/>
              <w:rPr>
                <w:rFonts w:ascii="宋体" w:hAnsi="宋体" w:eastAsia="宋体" w:cstheme="minorBidi"/>
                <w:b/>
                <w:bCs/>
                <w:color w:val="auto"/>
                <w:sz w:val="24"/>
                <w:szCs w:val="24"/>
              </w:rPr>
            </w:pPr>
            <w:r>
              <w:rPr>
                <w:rFonts w:hint="eastAsia" w:ascii="宋体" w:hAnsi="宋体" w:eastAsia="宋体" w:cstheme="minorBidi"/>
                <w:b w:val="0"/>
                <w:bCs w:val="0"/>
                <w:color w:val="auto"/>
                <w:sz w:val="24"/>
                <w:szCs w:val="24"/>
                <w:lang w:eastAsia="zh-CN"/>
              </w:rPr>
              <w:t>总计</w:t>
            </w:r>
          </w:p>
        </w:tc>
        <w:tc>
          <w:tcPr>
            <w:tcW w:w="999" w:type="pct"/>
            <w:tcBorders>
              <w:insideV w:val="nil"/>
            </w:tcBorders>
            <w:vAlign w:val="center"/>
          </w:tcPr>
          <w:p>
            <w:pPr>
              <w:pStyle w:val="35"/>
              <w:spacing w:line="360" w:lineRule="auto"/>
              <w:jc w:val="center"/>
              <w:rPr>
                <w:rFonts w:ascii="宋体" w:hAnsi="宋体" w:eastAsia="宋体" w:cstheme="minorBidi"/>
                <w:b/>
                <w:bCs/>
                <w:color w:val="auto"/>
                <w:sz w:val="24"/>
                <w:szCs w:val="24"/>
              </w:rPr>
            </w:pPr>
          </w:p>
        </w:tc>
        <w:tc>
          <w:tcPr>
            <w:tcW w:w="999" w:type="pct"/>
            <w:tcBorders>
              <w:insideV w:val="nil"/>
            </w:tcBorders>
            <w:vAlign w:val="center"/>
          </w:tcPr>
          <w:p>
            <w:pPr>
              <w:pStyle w:val="35"/>
              <w:spacing w:line="360" w:lineRule="auto"/>
              <w:jc w:val="center"/>
              <w:rPr>
                <w:rFonts w:ascii="宋体" w:hAnsi="宋体" w:eastAsia="宋体" w:cstheme="minorBidi"/>
                <w:b/>
                <w:bCs/>
                <w:color w:val="auto"/>
                <w:sz w:val="24"/>
                <w:szCs w:val="24"/>
              </w:rPr>
            </w:pPr>
            <w:r>
              <w:rPr>
                <w:rFonts w:ascii="宋体" w:hAnsi="宋体" w:eastAsia="宋体" w:cstheme="minorBidi"/>
                <w:b/>
                <w:bCs/>
                <w:color w:val="auto"/>
                <w:sz w:val="24"/>
                <w:szCs w:val="24"/>
                <w:lang w:eastAsia="zh-CN"/>
              </w:rPr>
              <w:t>179,500</w:t>
            </w:r>
          </w:p>
        </w:tc>
        <w:tc>
          <w:tcPr>
            <w:tcW w:w="999" w:type="pct"/>
            <w:tcBorders>
              <w:insideV w:val="nil"/>
            </w:tcBorders>
            <w:vAlign w:val="center"/>
          </w:tcPr>
          <w:p>
            <w:pPr>
              <w:pStyle w:val="35"/>
              <w:spacing w:line="360" w:lineRule="auto"/>
              <w:jc w:val="center"/>
              <w:rPr>
                <w:rFonts w:ascii="宋体" w:hAnsi="宋体" w:eastAsia="宋体" w:cstheme="minorBidi"/>
                <w:b/>
                <w:bCs/>
                <w:color w:val="auto"/>
                <w:sz w:val="24"/>
                <w:szCs w:val="24"/>
              </w:rPr>
            </w:pPr>
            <w:r>
              <w:rPr>
                <w:rFonts w:ascii="宋体" w:hAnsi="宋体" w:eastAsia="宋体" w:cstheme="minorBidi"/>
                <w:b/>
                <w:bCs/>
                <w:color w:val="auto"/>
                <w:sz w:val="24"/>
                <w:szCs w:val="24"/>
                <w:lang w:eastAsia="zh-CN"/>
              </w:rPr>
              <w:t>134,630</w:t>
            </w:r>
          </w:p>
        </w:tc>
        <w:tc>
          <w:tcPr>
            <w:tcW w:w="1000" w:type="pct"/>
            <w:tcBorders>
              <w:insideV w:val="nil"/>
            </w:tcBorders>
            <w:vAlign w:val="center"/>
          </w:tcPr>
          <w:p>
            <w:pPr>
              <w:pStyle w:val="35"/>
              <w:spacing w:line="360" w:lineRule="auto"/>
              <w:jc w:val="center"/>
              <w:rPr>
                <w:rFonts w:ascii="宋体" w:hAnsi="宋体" w:eastAsia="宋体" w:cstheme="minorBidi"/>
                <w:b/>
                <w:bCs/>
                <w:color w:val="auto"/>
                <w:sz w:val="24"/>
                <w:szCs w:val="24"/>
              </w:rPr>
            </w:pPr>
            <w:r>
              <w:rPr>
                <w:rFonts w:hint="eastAsia" w:ascii="宋体" w:hAnsi="宋体" w:eastAsia="宋体" w:cstheme="minorBidi"/>
                <w:b/>
                <w:bCs/>
                <w:color w:val="auto"/>
                <w:sz w:val="24"/>
                <w:szCs w:val="24"/>
                <w:lang w:eastAsia="zh-CN"/>
              </w:rPr>
              <w:t>不适用</w:t>
            </w:r>
          </w:p>
        </w:tc>
      </w:tr>
    </w:tbl>
    <w:p>
      <w:pPr>
        <w:adjustRightInd w:val="0"/>
        <w:snapToGrid w:val="0"/>
        <w:spacing w:before="156" w:beforeLines="50" w:after="156" w:afterLines="50" w:line="360" w:lineRule="auto"/>
        <w:ind w:firstLine="480" w:firstLineChars="200"/>
        <w:rPr>
          <w:rFonts w:cs="PMingLiU" w:asciiTheme="minorEastAsia" w:hAnsiTheme="minorEastAsia"/>
          <w:color w:val="231F20"/>
          <w:spacing w:val="49"/>
          <w:sz w:val="24"/>
          <w:szCs w:val="24"/>
          <w:lang w:eastAsia="zh-TW"/>
        </w:rPr>
      </w:pPr>
      <w:r>
        <w:rPr>
          <w:rFonts w:hint="eastAsia" w:cs="宋体" w:asciiTheme="minorEastAsia" w:hAnsiTheme="minorEastAsia" w:eastAsiaTheme="minorEastAsia"/>
          <w:sz w:val="24"/>
          <w:szCs w:val="24"/>
          <w:lang w:eastAsia="zh-CN"/>
        </w:rPr>
        <w:t>交控商运公司的费用是通过询价比价的方式确定的，苏锡常南部高速公司根据相关业务需要，分别向三家俱有相关资质的公司寻求合作询价，其中交控商运公司是本公司的关联方，其他两家公司为独立第三方。对比三家单位的报价，交控商运公司报价最低，价格是公允且合理的。协议的费用在接受有关服务后，苏锡常南部高速公司每季度以自有资金或符合资金用途的融资款项自行拨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(7)</w:t>
      </w:r>
      <w:r>
        <w:rPr>
          <w:rFonts w:hint="eastAsia" w:cs="宋体" w:asciiTheme="minorEastAsia" w:hAnsiTheme="minorEastAsia" w:eastAsiaTheme="minorEastAsia"/>
          <w:sz w:val="24"/>
          <w:szCs w:val="24"/>
          <w:lang w:eastAsia="zh-CN"/>
        </w:rPr>
        <w:t>江苏交控人力资源发展有限公司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苏锡常南部高速公司与江苏交控人力资源发展有限公司（以下简称“交控人力资源公司”）进行的日常关联交易的协议期限及协议最高金额如下：</w:t>
      </w:r>
    </w:p>
    <w:p>
      <w:pPr>
        <w:autoSpaceDE w:val="0"/>
        <w:autoSpaceDN w:val="0"/>
        <w:adjustRightInd w:val="0"/>
        <w:spacing w:line="360" w:lineRule="auto"/>
        <w:ind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47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7"/>
        <w:gridCol w:w="1627"/>
        <w:gridCol w:w="1627"/>
        <w:gridCol w:w="1627"/>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tcBorders>
              <w:insideV w:val="nil"/>
            </w:tcBorders>
            <w:noWrap/>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项目</w:t>
            </w:r>
          </w:p>
        </w:tc>
        <w:tc>
          <w:tcPr>
            <w:tcW w:w="999"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履约期限</w:t>
            </w:r>
          </w:p>
        </w:tc>
        <w:tc>
          <w:tcPr>
            <w:tcW w:w="999"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2024</w:t>
            </w:r>
            <w:r>
              <w:rPr>
                <w:rFonts w:hint="eastAsia" w:asciiTheme="minorEastAsia" w:hAnsiTheme="minorEastAsia" w:eastAsiaTheme="minorEastAsia" w:cstheme="minorBidi"/>
                <w:b/>
                <w:bCs/>
                <w:color w:val="auto"/>
                <w:sz w:val="24"/>
                <w:szCs w:val="24"/>
                <w:lang w:eastAsia="zh-CN"/>
              </w:rPr>
              <w:t>年拟发生额</w:t>
            </w:r>
          </w:p>
        </w:tc>
        <w:tc>
          <w:tcPr>
            <w:tcW w:w="999"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2023</w:t>
            </w:r>
            <w:r>
              <w:rPr>
                <w:rFonts w:hint="eastAsia" w:asciiTheme="minorEastAsia" w:hAnsiTheme="minorEastAsia" w:eastAsiaTheme="minorEastAsia" w:cstheme="minorBidi"/>
                <w:b/>
                <w:bCs/>
                <w:color w:val="auto"/>
                <w:sz w:val="24"/>
                <w:szCs w:val="24"/>
                <w:lang w:eastAsia="zh-CN"/>
              </w:rPr>
              <w:t>年已发生额</w:t>
            </w:r>
          </w:p>
        </w:tc>
        <w:tc>
          <w:tcPr>
            <w:tcW w:w="1000"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2022</w:t>
            </w:r>
            <w:r>
              <w:rPr>
                <w:rFonts w:hint="eastAsia" w:asciiTheme="minorEastAsia" w:hAnsiTheme="minorEastAsia" w:eastAsiaTheme="minorEastAsia" w:cstheme="minorBidi"/>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pct"/>
            <w:noWrap/>
            <w:vAlign w:val="center"/>
          </w:tcPr>
          <w:p>
            <w:pPr>
              <w:spacing w:line="360" w:lineRule="auto"/>
              <w:jc w:val="center"/>
              <w:rPr>
                <w:rFonts w:asciiTheme="minorEastAsia" w:hAnsiTheme="minorEastAsia" w:eastAsiaTheme="minorEastAsia" w:cstheme="minorBidi"/>
                <w:color w:val="auto"/>
                <w:sz w:val="24"/>
                <w:szCs w:val="24"/>
                <w:lang w:eastAsia="zh-TW"/>
              </w:rPr>
            </w:pPr>
            <w:r>
              <w:rPr>
                <w:rFonts w:hint="eastAsia" w:cs="宋体" w:asciiTheme="minorEastAsia" w:hAnsiTheme="minorEastAsia" w:eastAsiaTheme="minorEastAsia"/>
                <w:color w:val="auto"/>
                <w:sz w:val="24"/>
                <w:szCs w:val="24"/>
                <w:lang w:eastAsia="zh-CN"/>
              </w:rPr>
              <w:t>南部信道管理处收费业务外包</w:t>
            </w:r>
          </w:p>
        </w:tc>
        <w:tc>
          <w:tcPr>
            <w:tcW w:w="999" w:type="pct"/>
            <w:vAlign w:val="center"/>
          </w:tcPr>
          <w:p>
            <w:pPr>
              <w:pStyle w:val="35"/>
              <w:spacing w:line="360" w:lineRule="auto"/>
              <w:jc w:val="center"/>
              <w:rPr>
                <w:rFonts w:asciiTheme="minorEastAsia" w:hAnsiTheme="minorEastAsia" w:cstheme="minorBidi"/>
                <w:color w:val="auto"/>
                <w:sz w:val="24"/>
                <w:szCs w:val="24"/>
                <w:lang w:eastAsia="zh-CN"/>
              </w:rPr>
            </w:pPr>
            <w:r>
              <w:rPr>
                <w:rStyle w:val="36"/>
                <w:rFonts w:asciiTheme="minorEastAsia" w:hAnsiTheme="minorEastAsia" w:cstheme="minorBidi"/>
                <w:i w:val="0"/>
                <w:color w:val="auto"/>
                <w:sz w:val="24"/>
                <w:szCs w:val="24"/>
                <w:lang w:eastAsia="zh-CN"/>
              </w:rPr>
              <w:t>2021</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8</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2024</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7</w:t>
            </w:r>
            <w:r>
              <w:rPr>
                <w:rStyle w:val="36"/>
                <w:rFonts w:hint="eastAsia" w:asciiTheme="minorEastAsia" w:hAnsiTheme="minorEastAsia" w:cstheme="minorBidi"/>
                <w:i w:val="0"/>
                <w:color w:val="auto"/>
                <w:sz w:val="24"/>
                <w:szCs w:val="24"/>
                <w:lang w:eastAsia="zh-CN"/>
              </w:rPr>
              <w:t>日</w:t>
            </w:r>
          </w:p>
        </w:tc>
        <w:tc>
          <w:tcPr>
            <w:tcW w:w="999" w:type="pct"/>
            <w:vAlign w:val="center"/>
          </w:tcPr>
          <w:p>
            <w:pPr>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iCs/>
                <w:color w:val="auto"/>
                <w:sz w:val="24"/>
                <w:szCs w:val="24"/>
                <w:lang w:eastAsia="zh-CN"/>
              </w:rPr>
              <w:t>4,849,548.39</w:t>
            </w:r>
          </w:p>
        </w:tc>
        <w:tc>
          <w:tcPr>
            <w:tcW w:w="999" w:type="pct"/>
            <w:vAlign w:val="center"/>
          </w:tcPr>
          <w:p>
            <w:pPr>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iCs/>
                <w:color w:val="auto"/>
                <w:sz w:val="24"/>
                <w:szCs w:val="24"/>
                <w:lang w:eastAsia="zh-CN"/>
              </w:rPr>
              <w:t>3,456,000</w:t>
            </w:r>
          </w:p>
        </w:tc>
        <w:tc>
          <w:tcPr>
            <w:tcW w:w="1000" w:type="pct"/>
            <w:vAlign w:val="center"/>
          </w:tcPr>
          <w:p>
            <w:pPr>
              <w:spacing w:line="360" w:lineRule="auto"/>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3,677,483.83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9" w:type="pct"/>
            <w:tcBorders>
              <w:insideV w:val="nil"/>
            </w:tcBorders>
            <w:noWrap/>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val="0"/>
                <w:bCs w:val="0"/>
                <w:color w:val="auto"/>
                <w:sz w:val="24"/>
                <w:szCs w:val="24"/>
                <w:lang w:eastAsia="zh-CN"/>
              </w:rPr>
              <w:t>总计</w:t>
            </w:r>
          </w:p>
        </w:tc>
        <w:tc>
          <w:tcPr>
            <w:tcW w:w="999" w:type="pct"/>
            <w:tcBorders>
              <w:insideV w:val="nil"/>
            </w:tcBorders>
            <w:vAlign w:val="center"/>
          </w:tcPr>
          <w:p>
            <w:pPr>
              <w:pStyle w:val="35"/>
              <w:spacing w:line="360" w:lineRule="auto"/>
              <w:jc w:val="center"/>
              <w:rPr>
                <w:rFonts w:asciiTheme="minorEastAsia" w:hAnsiTheme="minorEastAsia" w:cstheme="minorBidi"/>
                <w:b/>
                <w:bCs/>
                <w:color w:val="auto"/>
                <w:sz w:val="24"/>
                <w:szCs w:val="24"/>
              </w:rPr>
            </w:pPr>
          </w:p>
        </w:tc>
        <w:tc>
          <w:tcPr>
            <w:tcW w:w="999" w:type="pct"/>
            <w:tcBorders>
              <w:insideV w:val="nil"/>
            </w:tcBorders>
            <w:vAlign w:val="center"/>
          </w:tcPr>
          <w:p>
            <w:pPr>
              <w:spacing w:line="360" w:lineRule="auto"/>
              <w:jc w:val="center"/>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4,849,548.39</w:t>
            </w:r>
          </w:p>
        </w:tc>
        <w:tc>
          <w:tcPr>
            <w:tcW w:w="999" w:type="pct"/>
            <w:tcBorders>
              <w:insideV w:val="nil"/>
            </w:tcBorders>
            <w:vAlign w:val="center"/>
          </w:tcPr>
          <w:p>
            <w:pPr>
              <w:spacing w:line="360" w:lineRule="auto"/>
              <w:jc w:val="center"/>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3,456,000</w:t>
            </w:r>
          </w:p>
        </w:tc>
        <w:tc>
          <w:tcPr>
            <w:tcW w:w="1000" w:type="pct"/>
            <w:tcBorders>
              <w:insideV w:val="nil"/>
            </w:tcBorders>
            <w:vAlign w:val="center"/>
          </w:tcPr>
          <w:p>
            <w:pPr>
              <w:spacing w:line="360" w:lineRule="auto"/>
              <w:jc w:val="center"/>
              <w:rPr>
                <w:rFonts w:hint="eastAsia" w:ascii="宋体" w:hAnsi="宋体" w:eastAsia="宋体" w:cs="宋体"/>
                <w:b/>
                <w:bCs/>
                <w:color w:val="auto"/>
                <w:sz w:val="24"/>
                <w:szCs w:val="24"/>
                <w:lang w:eastAsia="zh-CN"/>
              </w:rPr>
            </w:pPr>
            <w:r>
              <w:rPr>
                <w:rFonts w:hint="eastAsia" w:ascii="宋体" w:hAnsi="宋体" w:eastAsia="宋体" w:cs="宋体"/>
                <w:b/>
                <w:bCs/>
                <w:color w:val="auto"/>
                <w:sz w:val="24"/>
                <w:szCs w:val="24"/>
                <w:lang w:eastAsia="zh-CN"/>
              </w:rPr>
              <w:t>3,677,483.83</w:t>
            </w:r>
          </w:p>
        </w:tc>
      </w:tr>
    </w:tbl>
    <w:p>
      <w:pPr>
        <w:adjustRightInd w:val="0"/>
        <w:snapToGrid w:val="0"/>
        <w:spacing w:before="156" w:beforeLines="50" w:after="156" w:afterLines="50" w:line="360" w:lineRule="auto"/>
        <w:ind w:firstLine="480" w:firstLineChars="200"/>
        <w:rPr>
          <w:rFonts w:cs="PMingLiU" w:asciiTheme="minorEastAsia" w:hAnsiTheme="minorEastAsia" w:eastAsiaTheme="minorEastAsia"/>
          <w:color w:val="231F20"/>
          <w:spacing w:val="49"/>
          <w:sz w:val="24"/>
          <w:szCs w:val="24"/>
          <w:lang w:eastAsia="zh-TW"/>
        </w:rPr>
      </w:pPr>
      <w:r>
        <w:rPr>
          <w:rFonts w:hint="eastAsia" w:cs="宋体" w:asciiTheme="minorEastAsia" w:hAnsiTheme="minorEastAsia" w:eastAsiaTheme="minorEastAsia"/>
          <w:sz w:val="24"/>
          <w:szCs w:val="24"/>
          <w:lang w:eastAsia="zh-CN"/>
        </w:rPr>
        <w:t>交控人力资源公司的费用是通过询价比价的方式确定的，苏锡常南部高速公司根据相关业务需要，分别向三家俱有相关资质的公司寻求合作询价，其中交控人力资源公司是本公司的关联方，其他两家公司为独立第三方。对比三家单位的报价，交控人力资源公司报价最低，价格是公允且合理的。协议的费用在接受有关服务后，苏锡常南部高速公司每月以自有资金或符合资金用途的融资款项自行拨付</w:t>
      </w:r>
      <w:r>
        <w:rPr>
          <w:rFonts w:cs="宋体" w:asciiTheme="minorEastAsia" w:hAnsiTheme="minorEastAsia" w:eastAsiaTheme="minorEastAsia"/>
          <w:sz w:val="24"/>
          <w:szCs w:val="24"/>
          <w:lang w:eastAsia="zh-CN"/>
        </w:rPr>
        <w:t>.</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(8)</w:t>
      </w:r>
      <w:r>
        <w:rPr>
          <w:rFonts w:hint="eastAsia" w:cs="宋体" w:asciiTheme="minorEastAsia" w:hAnsiTheme="minorEastAsia" w:eastAsiaTheme="minorEastAsia"/>
          <w:sz w:val="24"/>
          <w:szCs w:val="24"/>
          <w:lang w:eastAsia="zh-CN"/>
        </w:rPr>
        <w:t>江苏交控数字交通研究院有限公司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苏锡常南部高速公司与江苏交控数字交通研究院有限公司（以下简称“数研院”）进行的日常关联交易的协议期限及协议最高金额如下：</w:t>
      </w:r>
    </w:p>
    <w:p>
      <w:pPr>
        <w:autoSpaceDE w:val="0"/>
        <w:autoSpaceDN w:val="0"/>
        <w:adjustRightInd w:val="0"/>
        <w:spacing w:line="360" w:lineRule="auto"/>
        <w:ind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467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1991"/>
        <w:gridCol w:w="1991"/>
        <w:gridCol w:w="1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249" w:type="pct"/>
            <w:tcBorders>
              <w:insideV w:val="nil"/>
            </w:tcBorders>
            <w:noWrap/>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项目</w:t>
            </w:r>
          </w:p>
        </w:tc>
        <w:tc>
          <w:tcPr>
            <w:tcW w:w="1249"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履约期限</w:t>
            </w:r>
          </w:p>
        </w:tc>
        <w:tc>
          <w:tcPr>
            <w:tcW w:w="1249"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2024</w:t>
            </w:r>
            <w:r>
              <w:rPr>
                <w:rFonts w:hint="eastAsia" w:asciiTheme="minorEastAsia" w:hAnsiTheme="minorEastAsia" w:eastAsiaTheme="minorEastAsia" w:cstheme="minorBidi"/>
                <w:b/>
                <w:bCs/>
                <w:color w:val="auto"/>
                <w:sz w:val="24"/>
                <w:szCs w:val="24"/>
                <w:lang w:eastAsia="zh-CN"/>
              </w:rPr>
              <w:t>年拟发生额</w:t>
            </w:r>
          </w:p>
        </w:tc>
        <w:tc>
          <w:tcPr>
            <w:tcW w:w="1250"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2023</w:t>
            </w:r>
            <w:r>
              <w:rPr>
                <w:rFonts w:hint="eastAsia" w:asciiTheme="minorEastAsia" w:hAnsiTheme="minorEastAsia" w:eastAsiaTheme="minorEastAsia" w:cstheme="minorBidi"/>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6" w:hRule="atLeast"/>
          <w:jc w:val="center"/>
        </w:trPr>
        <w:tc>
          <w:tcPr>
            <w:tcW w:w="1249" w:type="pct"/>
            <w:noWrap/>
            <w:vAlign w:val="center"/>
          </w:tcPr>
          <w:p>
            <w:pPr>
              <w:pStyle w:val="35"/>
              <w:spacing w:line="360" w:lineRule="auto"/>
              <w:jc w:val="center"/>
              <w:rPr>
                <w:rStyle w:val="36"/>
                <w:rFonts w:cstheme="minorBidi"/>
                <w:i w:val="0"/>
                <w:color w:val="2E75B6" w:themeColor="accent1" w:themeShade="BF"/>
                <w:sz w:val="24"/>
                <w:szCs w:val="24"/>
                <w:lang w:eastAsia="zh-CN"/>
              </w:rPr>
            </w:pPr>
            <w:r>
              <w:rPr>
                <w:rStyle w:val="36"/>
                <w:rFonts w:cs="Times New Roman"/>
                <w:i w:val="0"/>
                <w:color w:val="auto"/>
                <w:sz w:val="24"/>
                <w:szCs w:val="24"/>
                <w:lang w:eastAsia="zh-CN"/>
              </w:rPr>
              <w:t>“</w:t>
            </w:r>
            <w:r>
              <w:rPr>
                <w:rStyle w:val="36"/>
                <w:rFonts w:hint="eastAsia" w:cs="Times New Roman"/>
                <w:i w:val="0"/>
                <w:color w:val="auto"/>
                <w:sz w:val="24"/>
                <w:szCs w:val="24"/>
                <w:lang w:eastAsia="zh-CN"/>
              </w:rPr>
              <w:t>交控云</w:t>
            </w:r>
            <w:r>
              <w:rPr>
                <w:rStyle w:val="36"/>
                <w:rFonts w:cs="Times New Roman"/>
                <w:i w:val="0"/>
                <w:color w:val="auto"/>
                <w:sz w:val="24"/>
                <w:szCs w:val="24"/>
                <w:lang w:eastAsia="zh-CN"/>
              </w:rPr>
              <w:t>”</w:t>
            </w:r>
            <w:r>
              <w:rPr>
                <w:rStyle w:val="36"/>
                <w:rFonts w:hint="eastAsia" w:cs="Times New Roman"/>
                <w:i w:val="0"/>
                <w:color w:val="auto"/>
                <w:sz w:val="24"/>
                <w:szCs w:val="24"/>
                <w:lang w:eastAsia="zh-CN"/>
              </w:rPr>
              <w:t>平台及云端资源技术服务</w:t>
            </w:r>
          </w:p>
        </w:tc>
        <w:tc>
          <w:tcPr>
            <w:tcW w:w="1249" w:type="pct"/>
            <w:vAlign w:val="center"/>
          </w:tcPr>
          <w:p>
            <w:pPr>
              <w:pStyle w:val="35"/>
              <w:spacing w:line="360" w:lineRule="auto"/>
              <w:jc w:val="center"/>
              <w:rPr>
                <w:rStyle w:val="36"/>
                <w:rFonts w:cstheme="minorBidi"/>
                <w:i w:val="0"/>
                <w:color w:val="2E75B6" w:themeColor="accent1" w:themeShade="BF"/>
                <w:sz w:val="24"/>
                <w:szCs w:val="24"/>
              </w:rPr>
            </w:pPr>
            <w:r>
              <w:rPr>
                <w:rStyle w:val="36"/>
                <w:rFonts w:asciiTheme="minorEastAsia" w:hAnsiTheme="minorEastAsia" w:cstheme="minorBidi"/>
                <w:i w:val="0"/>
                <w:color w:val="auto"/>
                <w:sz w:val="24"/>
                <w:szCs w:val="24"/>
                <w:lang w:eastAsia="zh-CN"/>
              </w:rPr>
              <w:t>2023</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2024</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4</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30</w:t>
            </w:r>
            <w:r>
              <w:rPr>
                <w:rStyle w:val="36"/>
                <w:rFonts w:hint="eastAsia" w:asciiTheme="minorEastAsia" w:hAnsiTheme="minorEastAsia" w:cstheme="minorBidi"/>
                <w:i w:val="0"/>
                <w:color w:val="auto"/>
                <w:sz w:val="24"/>
                <w:szCs w:val="24"/>
                <w:lang w:eastAsia="zh-CN"/>
              </w:rPr>
              <w:t>日</w:t>
            </w:r>
          </w:p>
        </w:tc>
        <w:tc>
          <w:tcPr>
            <w:tcW w:w="1249" w:type="pct"/>
            <w:vAlign w:val="center"/>
          </w:tcPr>
          <w:p>
            <w:pPr>
              <w:pStyle w:val="35"/>
              <w:spacing w:line="360" w:lineRule="auto"/>
              <w:jc w:val="center"/>
              <w:rPr>
                <w:rStyle w:val="36"/>
                <w:rFonts w:cstheme="minorBidi"/>
                <w:i w:val="0"/>
                <w:color w:val="2E75B6" w:themeColor="accent1" w:themeShade="BF"/>
                <w:sz w:val="24"/>
                <w:szCs w:val="24"/>
                <w:lang w:eastAsia="zh-CN"/>
              </w:rPr>
            </w:pPr>
            <w:r>
              <w:rPr>
                <w:rStyle w:val="36"/>
                <w:rFonts w:asciiTheme="minorEastAsia" w:hAnsiTheme="minorEastAsia" w:cstheme="minorBidi"/>
                <w:i w:val="0"/>
                <w:color w:val="auto"/>
                <w:sz w:val="24"/>
                <w:szCs w:val="24"/>
                <w:lang w:eastAsia="zh-CN"/>
              </w:rPr>
              <w:t>71,893</w:t>
            </w:r>
          </w:p>
        </w:tc>
        <w:tc>
          <w:tcPr>
            <w:tcW w:w="1250" w:type="pct"/>
            <w:vAlign w:val="center"/>
          </w:tcPr>
          <w:p>
            <w:pPr>
              <w:pStyle w:val="35"/>
              <w:spacing w:line="360" w:lineRule="auto"/>
              <w:jc w:val="center"/>
              <w:rPr>
                <w:rStyle w:val="36"/>
                <w:rFonts w:cstheme="minorBidi"/>
                <w:i w:val="0"/>
                <w:color w:val="2E75B6" w:themeColor="accent1" w:themeShade="BF"/>
                <w:sz w:val="24"/>
                <w:szCs w:val="24"/>
                <w:lang w:eastAsia="zh-CN"/>
              </w:rPr>
            </w:pPr>
            <w:r>
              <w:rPr>
                <w:rStyle w:val="36"/>
                <w:rFonts w:asciiTheme="minorEastAsia" w:hAnsiTheme="minorEastAsia" w:cstheme="minorBidi"/>
                <w:i w:val="0"/>
                <w:color w:val="auto"/>
                <w:sz w:val="24"/>
                <w:szCs w:val="24"/>
                <w:lang w:eastAsia="zh-CN"/>
              </w:rPr>
              <w:t>143,786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249" w:type="pct"/>
            <w:tcBorders>
              <w:insideV w:val="nil"/>
            </w:tcBorders>
            <w:noWrap/>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val="0"/>
                <w:bCs w:val="0"/>
                <w:color w:val="auto"/>
                <w:sz w:val="24"/>
                <w:szCs w:val="24"/>
                <w:lang w:eastAsia="zh-CN"/>
              </w:rPr>
              <w:t>总计</w:t>
            </w:r>
          </w:p>
        </w:tc>
        <w:tc>
          <w:tcPr>
            <w:tcW w:w="1249" w:type="pct"/>
            <w:tcBorders>
              <w:insideV w:val="nil"/>
            </w:tcBorders>
            <w:vAlign w:val="center"/>
          </w:tcPr>
          <w:p>
            <w:pPr>
              <w:pStyle w:val="35"/>
              <w:spacing w:line="360" w:lineRule="auto"/>
              <w:jc w:val="center"/>
              <w:rPr>
                <w:rFonts w:asciiTheme="minorEastAsia" w:hAnsiTheme="minorEastAsia" w:cstheme="minorBidi"/>
                <w:b/>
                <w:bCs/>
                <w:color w:val="auto"/>
                <w:sz w:val="24"/>
                <w:szCs w:val="24"/>
                <w:lang w:eastAsia="zh-CN"/>
              </w:rPr>
            </w:pPr>
          </w:p>
        </w:tc>
        <w:tc>
          <w:tcPr>
            <w:tcW w:w="1249" w:type="pct"/>
            <w:tcBorders>
              <w:insideV w:val="nil"/>
            </w:tcBorders>
            <w:vAlign w:val="center"/>
          </w:tcPr>
          <w:p>
            <w:pPr>
              <w:pStyle w:val="35"/>
              <w:spacing w:line="360" w:lineRule="auto"/>
              <w:jc w:val="center"/>
              <w:rPr>
                <w:rFonts w:asciiTheme="minorEastAsia" w:hAnsiTheme="minorEastAsia" w:cstheme="minorBidi"/>
                <w:b/>
                <w:bCs/>
                <w:color w:val="auto"/>
                <w:sz w:val="24"/>
                <w:szCs w:val="24"/>
                <w:lang w:eastAsia="zh-CN"/>
              </w:rPr>
            </w:pPr>
            <w:r>
              <w:rPr>
                <w:rFonts w:asciiTheme="minorEastAsia" w:hAnsiTheme="minorEastAsia" w:cstheme="minorBidi"/>
                <w:b/>
                <w:bCs/>
                <w:color w:val="auto"/>
                <w:sz w:val="24"/>
                <w:szCs w:val="24"/>
                <w:lang w:eastAsia="zh-CN"/>
              </w:rPr>
              <w:t>71,893</w:t>
            </w:r>
          </w:p>
        </w:tc>
        <w:tc>
          <w:tcPr>
            <w:tcW w:w="1250" w:type="pct"/>
            <w:tcBorders>
              <w:insideV w:val="nil"/>
            </w:tcBorders>
            <w:vAlign w:val="center"/>
          </w:tcPr>
          <w:p>
            <w:pPr>
              <w:pStyle w:val="35"/>
              <w:spacing w:line="360" w:lineRule="auto"/>
              <w:ind w:right="843"/>
              <w:jc w:val="right"/>
              <w:rPr>
                <w:rFonts w:asciiTheme="minorEastAsia" w:hAnsiTheme="minorEastAsia" w:cstheme="minorBidi"/>
                <w:b/>
                <w:bCs/>
                <w:color w:val="auto"/>
                <w:sz w:val="24"/>
                <w:szCs w:val="24"/>
                <w:lang w:eastAsia="zh-CN"/>
              </w:rPr>
            </w:pPr>
            <w:r>
              <w:rPr>
                <w:rFonts w:asciiTheme="minorEastAsia" w:hAnsiTheme="minorEastAsia" w:cstheme="minorBidi"/>
                <w:b/>
                <w:bCs/>
                <w:color w:val="auto"/>
                <w:sz w:val="24"/>
                <w:szCs w:val="24"/>
                <w:lang w:eastAsia="zh-CN"/>
              </w:rPr>
              <w:t>143,786</w:t>
            </w:r>
          </w:p>
        </w:tc>
      </w:tr>
    </w:tbl>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数研院的协议是通过标前审计的方式定价的，即均委托具备造价资质的独立第三方审价单位进行控制价编制。第三方在审核过程中以国家法律、法规以及预算定额等为依据，并结合实际情况进行审阅、复核并进行市场询价，确保了该项关联交易定价的公允性。协议的费用在接受有关服务后，苏锡常南部高速公司分</w:t>
      </w:r>
      <w:r>
        <w:rPr>
          <w:rFonts w:cs="宋体" w:asciiTheme="minorEastAsia" w:hAnsiTheme="minorEastAsia" w:eastAsiaTheme="minorEastAsia"/>
          <w:sz w:val="24"/>
          <w:szCs w:val="24"/>
          <w:lang w:eastAsia="zh-CN"/>
        </w:rPr>
        <w:t>3</w:t>
      </w:r>
      <w:r>
        <w:rPr>
          <w:rFonts w:hint="eastAsia" w:cs="宋体" w:asciiTheme="minorEastAsia" w:hAnsiTheme="minorEastAsia" w:eastAsiaTheme="minorEastAsia"/>
          <w:sz w:val="24"/>
          <w:szCs w:val="24"/>
          <w:lang w:eastAsia="zh-CN"/>
        </w:rPr>
        <w:t>期以自有资金或符合资金用途的融资款项自行拨付。</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cs="宋体" w:asciiTheme="minorEastAsia" w:hAnsiTheme="minorEastAsia" w:eastAsiaTheme="minorEastAsia"/>
          <w:sz w:val="24"/>
          <w:szCs w:val="24"/>
          <w:lang w:eastAsia="zh-CN"/>
        </w:rPr>
        <w:t>(9)</w:t>
      </w:r>
      <w:r>
        <w:rPr>
          <w:rFonts w:hint="eastAsia" w:cs="宋体" w:asciiTheme="minorEastAsia" w:hAnsiTheme="minorEastAsia" w:eastAsiaTheme="minorEastAsia"/>
          <w:sz w:val="24"/>
          <w:szCs w:val="24"/>
          <w:lang w:eastAsia="zh-CN"/>
        </w:rPr>
        <w:t>南京感动科技有限公司</w:t>
      </w:r>
    </w:p>
    <w:p>
      <w:pPr>
        <w:adjustRightInd w:val="0"/>
        <w:snapToGrid w:val="0"/>
        <w:spacing w:before="156" w:beforeLines="50" w:after="156" w:afterLines="50" w:line="360" w:lineRule="auto"/>
        <w:ind w:firstLine="480" w:firstLineChars="200"/>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苏锡常南部高速公司与南京感动科技有限公司（以下简称“感动科技公司”）进行的日常关联交易的协议期限及协议最高金额如下：</w:t>
      </w:r>
    </w:p>
    <w:p>
      <w:pPr>
        <w:autoSpaceDE w:val="0"/>
        <w:autoSpaceDN w:val="0"/>
        <w:adjustRightInd w:val="0"/>
        <w:spacing w:line="360" w:lineRule="auto"/>
        <w:ind w:firstLine="720"/>
        <w:jc w:val="right"/>
        <w:rPr>
          <w:rFonts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货币：人民币</w:t>
      </w:r>
    </w:p>
    <w:tbl>
      <w:tblPr>
        <w:tblStyle w:val="16"/>
        <w:tblW w:w="47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7"/>
        <w:gridCol w:w="1337"/>
        <w:gridCol w:w="1337"/>
        <w:gridCol w:w="1337"/>
        <w:gridCol w:w="1337"/>
        <w:gridCol w:w="1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833" w:type="pct"/>
            <w:tcBorders>
              <w:insideV w:val="nil"/>
            </w:tcBorders>
            <w:noWrap/>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项目</w:t>
            </w:r>
          </w:p>
        </w:tc>
        <w:tc>
          <w:tcPr>
            <w:tcW w:w="833"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bCs/>
                <w:color w:val="auto"/>
                <w:sz w:val="24"/>
                <w:szCs w:val="24"/>
                <w:lang w:eastAsia="zh-CN"/>
              </w:rPr>
              <w:t>履约期限</w:t>
            </w:r>
          </w:p>
        </w:tc>
        <w:tc>
          <w:tcPr>
            <w:tcW w:w="833"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2025</w:t>
            </w:r>
            <w:r>
              <w:rPr>
                <w:rFonts w:hint="eastAsia" w:asciiTheme="minorEastAsia" w:hAnsiTheme="minorEastAsia" w:eastAsiaTheme="minorEastAsia" w:cstheme="minorBidi"/>
                <w:b/>
                <w:bCs/>
                <w:color w:val="auto"/>
                <w:sz w:val="24"/>
                <w:szCs w:val="24"/>
                <w:lang w:eastAsia="zh-CN"/>
              </w:rPr>
              <w:t>年拟发生额</w:t>
            </w:r>
          </w:p>
        </w:tc>
        <w:tc>
          <w:tcPr>
            <w:tcW w:w="833"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2024</w:t>
            </w:r>
            <w:r>
              <w:rPr>
                <w:rFonts w:hint="eastAsia" w:asciiTheme="minorEastAsia" w:hAnsiTheme="minorEastAsia" w:eastAsiaTheme="minorEastAsia" w:cstheme="minorBidi"/>
                <w:b/>
                <w:bCs/>
                <w:color w:val="auto"/>
                <w:sz w:val="24"/>
                <w:szCs w:val="24"/>
                <w:lang w:eastAsia="zh-CN"/>
              </w:rPr>
              <w:t>年拟发生额</w:t>
            </w:r>
          </w:p>
        </w:tc>
        <w:tc>
          <w:tcPr>
            <w:tcW w:w="833"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2023</w:t>
            </w:r>
            <w:r>
              <w:rPr>
                <w:rFonts w:hint="eastAsia" w:asciiTheme="minorEastAsia" w:hAnsiTheme="minorEastAsia" w:eastAsiaTheme="minorEastAsia" w:cstheme="minorBidi"/>
                <w:b/>
                <w:bCs/>
                <w:color w:val="auto"/>
                <w:sz w:val="24"/>
                <w:szCs w:val="24"/>
                <w:lang w:eastAsia="zh-CN"/>
              </w:rPr>
              <w:t>年已发生额</w:t>
            </w:r>
          </w:p>
        </w:tc>
        <w:tc>
          <w:tcPr>
            <w:tcW w:w="834" w:type="pct"/>
            <w:tcBorders>
              <w:insideV w:val="nil"/>
            </w:tcBorders>
            <w:vAlign w:val="center"/>
          </w:tcPr>
          <w:p>
            <w:pPr>
              <w:spacing w:line="360" w:lineRule="auto"/>
              <w:jc w:val="center"/>
              <w:rPr>
                <w:rFonts w:asciiTheme="minorEastAsia" w:hAnsiTheme="minorEastAsia" w:eastAsiaTheme="minorEastAsia" w:cstheme="minorBidi"/>
                <w:b/>
                <w:bCs/>
                <w:color w:val="auto"/>
                <w:sz w:val="24"/>
                <w:szCs w:val="24"/>
              </w:rPr>
            </w:pPr>
            <w:r>
              <w:rPr>
                <w:rFonts w:asciiTheme="minorEastAsia" w:hAnsiTheme="minorEastAsia" w:eastAsiaTheme="minorEastAsia" w:cstheme="minorBidi"/>
                <w:b/>
                <w:bCs/>
                <w:color w:val="auto"/>
                <w:sz w:val="24"/>
                <w:szCs w:val="24"/>
                <w:lang w:eastAsia="zh-CN"/>
              </w:rPr>
              <w:t>2022</w:t>
            </w:r>
            <w:r>
              <w:rPr>
                <w:rFonts w:hint="eastAsia" w:asciiTheme="minorEastAsia" w:hAnsiTheme="minorEastAsia" w:eastAsiaTheme="minorEastAsia" w:cstheme="minorBidi"/>
                <w:b/>
                <w:bCs/>
                <w:color w:val="auto"/>
                <w:sz w:val="24"/>
                <w:szCs w:val="24"/>
                <w:lang w:eastAsia="zh-CN"/>
              </w:rPr>
              <w:t>年已发生额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2" w:hRule="atLeast"/>
          <w:jc w:val="center"/>
        </w:trPr>
        <w:tc>
          <w:tcPr>
            <w:tcW w:w="833" w:type="pct"/>
            <w:noWrap/>
            <w:vAlign w:val="center"/>
          </w:tcPr>
          <w:p>
            <w:pPr>
              <w:spacing w:line="360" w:lineRule="auto"/>
              <w:jc w:val="center"/>
              <w:rPr>
                <w:rFonts w:asciiTheme="minorEastAsia" w:hAnsiTheme="minorEastAsia" w:eastAsiaTheme="minorEastAsia" w:cstheme="minorBidi"/>
                <w:color w:val="auto"/>
                <w:sz w:val="24"/>
                <w:szCs w:val="24"/>
                <w:lang w:eastAsia="zh-TW"/>
              </w:rPr>
            </w:pPr>
            <w:r>
              <w:rPr>
                <w:rFonts w:cs="宋体" w:asciiTheme="minorEastAsia" w:hAnsiTheme="minorEastAsia" w:eastAsiaTheme="minorEastAsia"/>
                <w:color w:val="auto"/>
                <w:sz w:val="24"/>
                <w:szCs w:val="24"/>
                <w:lang w:eastAsia="zh-CN"/>
              </w:rPr>
              <w:t>FT2.0</w:t>
            </w:r>
            <w:r>
              <w:rPr>
                <w:rFonts w:hint="eastAsia" w:cs="宋体" w:asciiTheme="minorEastAsia" w:hAnsiTheme="minorEastAsia" w:eastAsiaTheme="minorEastAsia"/>
                <w:color w:val="auto"/>
                <w:sz w:val="24"/>
                <w:szCs w:val="24"/>
                <w:lang w:eastAsia="zh-CN"/>
              </w:rPr>
              <w:t>赋能平台服务</w:t>
            </w:r>
          </w:p>
        </w:tc>
        <w:tc>
          <w:tcPr>
            <w:tcW w:w="833" w:type="pct"/>
            <w:vAlign w:val="center"/>
          </w:tcPr>
          <w:p>
            <w:pPr>
              <w:pStyle w:val="35"/>
              <w:spacing w:line="360" w:lineRule="auto"/>
              <w:jc w:val="center"/>
              <w:rPr>
                <w:rFonts w:asciiTheme="minorEastAsia" w:hAnsiTheme="minorEastAsia" w:cstheme="minorBidi"/>
                <w:color w:val="auto"/>
                <w:sz w:val="24"/>
                <w:szCs w:val="24"/>
                <w:lang w:eastAsia="zh-TW"/>
              </w:rPr>
            </w:pPr>
            <w:r>
              <w:rPr>
                <w:rStyle w:val="36"/>
                <w:rFonts w:asciiTheme="minorEastAsia" w:hAnsiTheme="minorEastAsia" w:cstheme="minorBidi"/>
                <w:i w:val="0"/>
                <w:color w:val="auto"/>
                <w:sz w:val="24"/>
                <w:szCs w:val="24"/>
                <w:lang w:eastAsia="zh-CN"/>
              </w:rPr>
              <w:t>2024</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2025</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4</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30</w:t>
            </w:r>
            <w:r>
              <w:rPr>
                <w:rStyle w:val="36"/>
                <w:rFonts w:hint="eastAsia" w:asciiTheme="minorEastAsia" w:hAnsiTheme="minorEastAsia" w:cstheme="minorBidi"/>
                <w:i w:val="0"/>
                <w:color w:val="auto"/>
                <w:sz w:val="24"/>
                <w:szCs w:val="24"/>
                <w:lang w:eastAsia="zh-CN"/>
              </w:rPr>
              <w:t>日</w:t>
            </w:r>
          </w:p>
        </w:tc>
        <w:tc>
          <w:tcPr>
            <w:tcW w:w="833" w:type="pct"/>
            <w:vAlign w:val="center"/>
          </w:tcPr>
          <w:p>
            <w:pPr>
              <w:pStyle w:val="35"/>
              <w:spacing w:line="360" w:lineRule="auto"/>
              <w:jc w:val="center"/>
              <w:rPr>
                <w:rStyle w:val="36"/>
                <w:rFonts w:asciiTheme="minorEastAsia" w:hAnsiTheme="minorEastAsia" w:cstheme="minorBidi"/>
                <w:i w:val="0"/>
                <w:iCs w:val="0"/>
                <w:color w:val="auto"/>
                <w:sz w:val="24"/>
                <w:szCs w:val="24"/>
                <w:lang w:eastAsia="zh-CN"/>
              </w:rPr>
            </w:pPr>
            <w:r>
              <w:rPr>
                <w:rStyle w:val="36"/>
                <w:rFonts w:asciiTheme="minorEastAsia" w:hAnsiTheme="minorEastAsia" w:cstheme="minorBidi"/>
                <w:i w:val="0"/>
                <w:color w:val="auto"/>
                <w:sz w:val="24"/>
                <w:szCs w:val="24"/>
                <w:lang w:eastAsia="zh-CN"/>
              </w:rPr>
              <w:t>20,000</w:t>
            </w:r>
          </w:p>
        </w:tc>
        <w:tc>
          <w:tcPr>
            <w:tcW w:w="833" w:type="pct"/>
            <w:vAlign w:val="center"/>
          </w:tcPr>
          <w:p>
            <w:pPr>
              <w:pStyle w:val="35"/>
              <w:spacing w:line="360" w:lineRule="auto"/>
              <w:jc w:val="center"/>
              <w:rPr>
                <w:rFonts w:asciiTheme="minorEastAsia" w:hAnsiTheme="minorEastAsia" w:cstheme="minorBidi"/>
                <w:color w:val="auto"/>
                <w:sz w:val="24"/>
                <w:szCs w:val="24"/>
              </w:rPr>
            </w:pPr>
            <w:r>
              <w:rPr>
                <w:rStyle w:val="36"/>
                <w:rFonts w:asciiTheme="minorEastAsia" w:hAnsiTheme="minorEastAsia" w:cstheme="minorBidi"/>
                <w:i w:val="0"/>
                <w:color w:val="auto"/>
                <w:sz w:val="24"/>
                <w:szCs w:val="24"/>
                <w:lang w:eastAsia="zh-CN"/>
              </w:rPr>
              <w:t>60,000</w:t>
            </w:r>
          </w:p>
        </w:tc>
        <w:tc>
          <w:tcPr>
            <w:tcW w:w="833" w:type="pct"/>
            <w:vAlign w:val="center"/>
          </w:tcPr>
          <w:p>
            <w:pPr>
              <w:pStyle w:val="35"/>
              <w:spacing w:line="360" w:lineRule="auto"/>
              <w:jc w:val="center"/>
              <w:rPr>
                <w:rFonts w:asciiTheme="minorEastAsia" w:hAnsiTheme="minorEastAsia" w:cstheme="minorBidi"/>
                <w:color w:val="auto"/>
                <w:sz w:val="24"/>
                <w:szCs w:val="24"/>
              </w:rPr>
            </w:pPr>
            <w:r>
              <w:rPr>
                <w:rFonts w:hint="eastAsia" w:asciiTheme="minorEastAsia" w:hAnsiTheme="minorEastAsia" w:cstheme="minorBidi"/>
                <w:color w:val="auto"/>
                <w:sz w:val="24"/>
                <w:szCs w:val="24"/>
                <w:lang w:eastAsia="zh-CN"/>
              </w:rPr>
              <w:t>不适用</w:t>
            </w:r>
          </w:p>
        </w:tc>
        <w:tc>
          <w:tcPr>
            <w:tcW w:w="834" w:type="pct"/>
            <w:vAlign w:val="center"/>
          </w:tcPr>
          <w:p>
            <w:pPr>
              <w:pStyle w:val="35"/>
              <w:spacing w:line="360" w:lineRule="auto"/>
              <w:jc w:val="center"/>
              <w:rPr>
                <w:rFonts w:asciiTheme="minorEastAsia" w:hAnsiTheme="minorEastAsia" w:cstheme="minorBidi"/>
                <w:color w:val="auto"/>
                <w:sz w:val="24"/>
                <w:szCs w:val="24"/>
                <w:lang w:eastAsia="zh-CN"/>
              </w:rPr>
            </w:pPr>
            <w:r>
              <w:rPr>
                <w:rFonts w:hint="eastAsia" w:asciiTheme="minorEastAsia" w:hAnsiTheme="minorEastAsia" w:cstheme="minorBidi"/>
                <w:color w:val="auto"/>
                <w:sz w:val="24"/>
                <w:szCs w:val="24"/>
                <w:lang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833" w:type="pct"/>
            <w:noWrap/>
            <w:vAlign w:val="center"/>
          </w:tcPr>
          <w:p>
            <w:pPr>
              <w:spacing w:line="360" w:lineRule="auto"/>
              <w:jc w:val="center"/>
              <w:rPr>
                <w:rFonts w:cs="宋体" w:asciiTheme="minorEastAsia" w:hAnsiTheme="minorEastAsia" w:eastAsiaTheme="minorEastAsia"/>
                <w:color w:val="auto"/>
                <w:sz w:val="24"/>
                <w:szCs w:val="24"/>
                <w:lang w:eastAsia="zh-CN"/>
              </w:rPr>
            </w:pPr>
            <w:r>
              <w:rPr>
                <w:rFonts w:hint="eastAsia" w:cs="宋体" w:asciiTheme="minorEastAsia" w:hAnsiTheme="minorEastAsia" w:eastAsiaTheme="minorEastAsia"/>
                <w:color w:val="auto"/>
                <w:sz w:val="24"/>
                <w:szCs w:val="24"/>
                <w:lang w:eastAsia="zh-CN"/>
              </w:rPr>
              <w:t>云值机系统及三项业务上云系统部署与服务</w:t>
            </w:r>
          </w:p>
        </w:tc>
        <w:tc>
          <w:tcPr>
            <w:tcW w:w="833" w:type="pct"/>
            <w:vAlign w:val="center"/>
          </w:tcPr>
          <w:p>
            <w:pPr>
              <w:pStyle w:val="35"/>
              <w:tabs>
                <w:tab w:val="clear" w:pos="360"/>
              </w:tabs>
              <w:spacing w:line="360" w:lineRule="auto"/>
              <w:jc w:val="center"/>
              <w:rPr>
                <w:rStyle w:val="36"/>
                <w:rFonts w:asciiTheme="minorEastAsia" w:hAnsiTheme="minorEastAsia" w:cstheme="minorBidi"/>
                <w:i w:val="0"/>
                <w:iCs w:val="0"/>
                <w:color w:val="auto"/>
                <w:sz w:val="24"/>
                <w:szCs w:val="24"/>
                <w:lang w:eastAsia="zh-CN"/>
              </w:rPr>
            </w:pPr>
            <w:r>
              <w:rPr>
                <w:rStyle w:val="36"/>
                <w:rFonts w:asciiTheme="minorEastAsia" w:hAnsiTheme="minorEastAsia" w:cstheme="minorBidi"/>
                <w:i w:val="0"/>
                <w:color w:val="auto"/>
                <w:sz w:val="24"/>
                <w:szCs w:val="24"/>
                <w:lang w:eastAsia="zh-CN"/>
              </w:rPr>
              <w:t>2022</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1</w:t>
            </w:r>
            <w:r>
              <w:rPr>
                <w:rStyle w:val="36"/>
                <w:rFonts w:hint="eastAsia" w:asciiTheme="minorEastAsia" w:hAnsiTheme="minorEastAsia" w:cstheme="minorBidi"/>
                <w:i w:val="0"/>
                <w:color w:val="auto"/>
                <w:sz w:val="24"/>
                <w:szCs w:val="24"/>
                <w:lang w:eastAsia="zh-CN"/>
              </w:rPr>
              <w:t>日至</w:t>
            </w:r>
            <w:r>
              <w:rPr>
                <w:rStyle w:val="36"/>
                <w:rFonts w:asciiTheme="minorEastAsia" w:hAnsiTheme="minorEastAsia" w:cstheme="minorBidi"/>
                <w:i w:val="0"/>
                <w:color w:val="auto"/>
                <w:sz w:val="24"/>
                <w:szCs w:val="24"/>
                <w:lang w:eastAsia="zh-CN"/>
              </w:rPr>
              <w:t>2024</w:t>
            </w:r>
            <w:r>
              <w:rPr>
                <w:rStyle w:val="36"/>
                <w:rFonts w:hint="eastAsia" w:asciiTheme="minorEastAsia" w:hAnsiTheme="minorEastAsia" w:cstheme="minorBidi"/>
                <w:i w:val="0"/>
                <w:color w:val="auto"/>
                <w:sz w:val="24"/>
                <w:szCs w:val="24"/>
                <w:lang w:eastAsia="zh-CN"/>
              </w:rPr>
              <w:t>年</w:t>
            </w:r>
            <w:r>
              <w:rPr>
                <w:rStyle w:val="36"/>
                <w:rFonts w:asciiTheme="minorEastAsia" w:hAnsiTheme="minorEastAsia" w:cstheme="minorBidi"/>
                <w:i w:val="0"/>
                <w:color w:val="auto"/>
                <w:sz w:val="24"/>
                <w:szCs w:val="24"/>
                <w:lang w:eastAsia="zh-CN"/>
              </w:rPr>
              <w:t>12</w:t>
            </w:r>
            <w:r>
              <w:rPr>
                <w:rStyle w:val="36"/>
                <w:rFonts w:hint="eastAsia" w:asciiTheme="minorEastAsia" w:hAnsiTheme="minorEastAsia" w:cstheme="minorBidi"/>
                <w:i w:val="0"/>
                <w:color w:val="auto"/>
                <w:sz w:val="24"/>
                <w:szCs w:val="24"/>
                <w:lang w:eastAsia="zh-CN"/>
              </w:rPr>
              <w:t>月</w:t>
            </w:r>
            <w:r>
              <w:rPr>
                <w:rStyle w:val="36"/>
                <w:rFonts w:asciiTheme="minorEastAsia" w:hAnsiTheme="minorEastAsia" w:cstheme="minorBidi"/>
                <w:i w:val="0"/>
                <w:color w:val="auto"/>
                <w:sz w:val="24"/>
                <w:szCs w:val="24"/>
                <w:lang w:eastAsia="zh-CN"/>
              </w:rPr>
              <w:t>31</w:t>
            </w:r>
            <w:r>
              <w:rPr>
                <w:rStyle w:val="36"/>
                <w:rFonts w:hint="eastAsia" w:asciiTheme="minorEastAsia" w:hAnsiTheme="minorEastAsia" w:cstheme="minorBidi"/>
                <w:i w:val="0"/>
                <w:color w:val="auto"/>
                <w:sz w:val="24"/>
                <w:szCs w:val="24"/>
                <w:lang w:eastAsia="zh-CN"/>
              </w:rPr>
              <w:t>日</w:t>
            </w:r>
          </w:p>
        </w:tc>
        <w:tc>
          <w:tcPr>
            <w:tcW w:w="833" w:type="pct"/>
            <w:vAlign w:val="center"/>
          </w:tcPr>
          <w:p>
            <w:pPr>
              <w:pStyle w:val="35"/>
              <w:tabs>
                <w:tab w:val="clear" w:pos="360"/>
              </w:tabs>
              <w:spacing w:line="360" w:lineRule="auto"/>
              <w:jc w:val="center"/>
              <w:rPr>
                <w:rStyle w:val="36"/>
                <w:rFonts w:asciiTheme="minorEastAsia" w:hAnsiTheme="minorEastAsia" w:cstheme="minorBidi"/>
                <w:i w:val="0"/>
                <w:iCs w:val="0"/>
                <w:color w:val="auto"/>
                <w:sz w:val="24"/>
                <w:szCs w:val="24"/>
                <w:lang w:eastAsia="zh-CN"/>
              </w:rPr>
            </w:pPr>
            <w:r>
              <w:rPr>
                <w:rStyle w:val="36"/>
                <w:rFonts w:hint="eastAsia" w:asciiTheme="minorEastAsia" w:hAnsiTheme="minorEastAsia" w:cstheme="minorBidi"/>
                <w:i w:val="0"/>
                <w:color w:val="auto"/>
                <w:sz w:val="24"/>
                <w:szCs w:val="24"/>
                <w:lang w:eastAsia="zh-CN"/>
              </w:rPr>
              <w:t>不适用</w:t>
            </w:r>
          </w:p>
        </w:tc>
        <w:tc>
          <w:tcPr>
            <w:tcW w:w="833" w:type="pct"/>
            <w:vAlign w:val="center"/>
          </w:tcPr>
          <w:p>
            <w:pPr>
              <w:pStyle w:val="35"/>
              <w:tabs>
                <w:tab w:val="clear" w:pos="360"/>
              </w:tabs>
              <w:spacing w:line="360" w:lineRule="auto"/>
              <w:jc w:val="center"/>
              <w:rPr>
                <w:rStyle w:val="36"/>
                <w:rFonts w:asciiTheme="minorEastAsia" w:hAnsiTheme="minorEastAsia" w:cstheme="minorBidi"/>
                <w:i w:val="0"/>
                <w:iCs w:val="0"/>
                <w:color w:val="auto"/>
                <w:sz w:val="24"/>
                <w:szCs w:val="24"/>
                <w:lang w:eastAsia="zh-CN"/>
              </w:rPr>
            </w:pPr>
            <w:r>
              <w:rPr>
                <w:rStyle w:val="36"/>
                <w:rFonts w:asciiTheme="minorEastAsia" w:hAnsiTheme="minorEastAsia" w:cstheme="minorBidi"/>
                <w:i w:val="0"/>
                <w:color w:val="auto"/>
                <w:sz w:val="24"/>
                <w:szCs w:val="24"/>
                <w:lang w:eastAsia="zh-CN"/>
              </w:rPr>
              <w:t>463,333</w:t>
            </w:r>
          </w:p>
        </w:tc>
        <w:tc>
          <w:tcPr>
            <w:tcW w:w="833" w:type="pct"/>
            <w:vAlign w:val="center"/>
          </w:tcPr>
          <w:p>
            <w:pPr>
              <w:pStyle w:val="35"/>
              <w:spacing w:line="360" w:lineRule="auto"/>
              <w:jc w:val="center"/>
              <w:rPr>
                <w:rStyle w:val="36"/>
                <w:rFonts w:asciiTheme="minorEastAsia" w:hAnsiTheme="minorEastAsia" w:cstheme="minorBidi"/>
                <w:i w:val="0"/>
                <w:color w:val="auto"/>
                <w:sz w:val="24"/>
                <w:szCs w:val="24"/>
                <w:lang w:eastAsia="zh-CN"/>
              </w:rPr>
            </w:pPr>
            <w:r>
              <w:rPr>
                <w:rStyle w:val="36"/>
                <w:rFonts w:asciiTheme="minorEastAsia" w:hAnsiTheme="minorEastAsia" w:cstheme="minorBidi"/>
                <w:i w:val="0"/>
                <w:color w:val="auto"/>
                <w:sz w:val="24"/>
                <w:szCs w:val="24"/>
                <w:lang w:eastAsia="zh-CN"/>
              </w:rPr>
              <w:t>463,333</w:t>
            </w:r>
          </w:p>
        </w:tc>
        <w:tc>
          <w:tcPr>
            <w:tcW w:w="834" w:type="pct"/>
            <w:vAlign w:val="center"/>
          </w:tcPr>
          <w:p>
            <w:pPr>
              <w:pStyle w:val="35"/>
              <w:spacing w:line="360" w:lineRule="auto"/>
              <w:jc w:val="center"/>
              <w:rPr>
                <w:rFonts w:asciiTheme="minorEastAsia" w:hAnsiTheme="minorEastAsia" w:cstheme="minorBidi"/>
                <w:color w:val="auto"/>
                <w:sz w:val="24"/>
                <w:szCs w:val="24"/>
                <w:lang w:eastAsia="zh-CN"/>
              </w:rPr>
            </w:pPr>
            <w:r>
              <w:rPr>
                <w:rFonts w:asciiTheme="minorEastAsia" w:hAnsiTheme="minorEastAsia" w:cstheme="minorBidi"/>
                <w:color w:val="auto"/>
                <w:sz w:val="24"/>
                <w:szCs w:val="24"/>
                <w:lang w:eastAsia="zh-CN"/>
              </w:rPr>
              <w:t>463,332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33" w:type="pct"/>
            <w:tcBorders>
              <w:insideV w:val="nil"/>
            </w:tcBorders>
            <w:noWrap/>
            <w:vAlign w:val="center"/>
          </w:tcPr>
          <w:p>
            <w:pPr>
              <w:spacing w:line="360" w:lineRule="auto"/>
              <w:jc w:val="center"/>
              <w:rPr>
                <w:rFonts w:asciiTheme="minorEastAsia" w:hAnsiTheme="minorEastAsia" w:eastAsiaTheme="minorEastAsia" w:cstheme="minorBidi"/>
                <w:b/>
                <w:bCs/>
                <w:color w:val="auto"/>
                <w:sz w:val="24"/>
                <w:szCs w:val="24"/>
              </w:rPr>
            </w:pPr>
            <w:r>
              <w:rPr>
                <w:rFonts w:hint="eastAsia" w:asciiTheme="minorEastAsia" w:hAnsiTheme="minorEastAsia" w:eastAsiaTheme="minorEastAsia" w:cstheme="minorBidi"/>
                <w:b w:val="0"/>
                <w:bCs w:val="0"/>
                <w:color w:val="auto"/>
                <w:sz w:val="24"/>
                <w:szCs w:val="24"/>
                <w:lang w:eastAsia="zh-CN"/>
              </w:rPr>
              <w:t>总计</w:t>
            </w:r>
          </w:p>
        </w:tc>
        <w:tc>
          <w:tcPr>
            <w:tcW w:w="833" w:type="pct"/>
            <w:tcBorders>
              <w:insideV w:val="nil"/>
            </w:tcBorders>
            <w:vAlign w:val="center"/>
          </w:tcPr>
          <w:p>
            <w:pPr>
              <w:pStyle w:val="35"/>
              <w:spacing w:line="360" w:lineRule="auto"/>
              <w:jc w:val="center"/>
              <w:rPr>
                <w:rFonts w:asciiTheme="minorEastAsia" w:hAnsiTheme="minorEastAsia" w:cstheme="minorBidi"/>
                <w:b/>
                <w:bCs/>
                <w:color w:val="auto"/>
                <w:sz w:val="24"/>
                <w:szCs w:val="24"/>
              </w:rPr>
            </w:pPr>
          </w:p>
        </w:tc>
        <w:tc>
          <w:tcPr>
            <w:tcW w:w="833" w:type="pct"/>
            <w:tcBorders>
              <w:insideV w:val="nil"/>
            </w:tcBorders>
            <w:vAlign w:val="center"/>
          </w:tcPr>
          <w:p>
            <w:pPr>
              <w:pStyle w:val="35"/>
              <w:spacing w:line="360" w:lineRule="auto"/>
              <w:jc w:val="center"/>
              <w:rPr>
                <w:rFonts w:asciiTheme="minorEastAsia" w:hAnsiTheme="minorEastAsia" w:cstheme="minorBidi"/>
                <w:b/>
                <w:bCs/>
                <w:color w:val="auto"/>
                <w:sz w:val="24"/>
                <w:szCs w:val="24"/>
                <w:lang w:eastAsia="zh-CN"/>
              </w:rPr>
            </w:pPr>
            <w:r>
              <w:rPr>
                <w:rFonts w:asciiTheme="minorEastAsia" w:hAnsiTheme="minorEastAsia" w:cstheme="minorBidi"/>
                <w:b/>
                <w:bCs/>
                <w:color w:val="auto"/>
                <w:sz w:val="24"/>
                <w:szCs w:val="24"/>
                <w:lang w:eastAsia="zh-CN"/>
              </w:rPr>
              <w:t>20,000</w:t>
            </w:r>
          </w:p>
        </w:tc>
        <w:tc>
          <w:tcPr>
            <w:tcW w:w="833" w:type="pct"/>
            <w:tcBorders>
              <w:insideV w:val="nil"/>
            </w:tcBorders>
            <w:vAlign w:val="center"/>
          </w:tcPr>
          <w:p>
            <w:pPr>
              <w:pStyle w:val="35"/>
              <w:spacing w:line="360" w:lineRule="auto"/>
              <w:jc w:val="center"/>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523,333</w:t>
            </w:r>
          </w:p>
        </w:tc>
        <w:tc>
          <w:tcPr>
            <w:tcW w:w="833" w:type="pct"/>
            <w:tcBorders>
              <w:insideV w:val="nil"/>
            </w:tcBorders>
            <w:vAlign w:val="center"/>
          </w:tcPr>
          <w:p>
            <w:pPr>
              <w:pStyle w:val="35"/>
              <w:spacing w:line="360" w:lineRule="auto"/>
              <w:jc w:val="center"/>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463,333</w:t>
            </w:r>
          </w:p>
        </w:tc>
        <w:tc>
          <w:tcPr>
            <w:tcW w:w="834" w:type="pct"/>
            <w:tcBorders>
              <w:insideV w:val="nil"/>
            </w:tcBorders>
            <w:vAlign w:val="center"/>
          </w:tcPr>
          <w:p>
            <w:pPr>
              <w:pStyle w:val="35"/>
              <w:spacing w:line="360" w:lineRule="auto"/>
              <w:jc w:val="center"/>
              <w:rPr>
                <w:rFonts w:asciiTheme="minorEastAsia" w:hAnsiTheme="minorEastAsia" w:cstheme="minorBidi"/>
                <w:b/>
                <w:bCs/>
                <w:color w:val="auto"/>
                <w:sz w:val="24"/>
                <w:szCs w:val="24"/>
              </w:rPr>
            </w:pPr>
            <w:r>
              <w:rPr>
                <w:rFonts w:asciiTheme="minorEastAsia" w:hAnsiTheme="minorEastAsia" w:cstheme="minorBidi"/>
                <w:b/>
                <w:bCs/>
                <w:color w:val="auto"/>
                <w:sz w:val="24"/>
                <w:szCs w:val="24"/>
                <w:lang w:eastAsia="zh-CN"/>
              </w:rPr>
              <w:t>463,333</w:t>
            </w:r>
          </w:p>
        </w:tc>
      </w:tr>
    </w:tbl>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就以上服务费用，苏锡常南部高速公司委聘具有中华人民共和国建设部发布的《工程造价咨询单位管理办法》资质的独立第三方造价咨询单位根据造价咨询单位数据库类似服务合同单价审核并报告审核结果。感动科技公司项目的合同价格将是其根据苏锡常南部高速公司要求的服务报价或由苏锡常南部高速公司委聘的造价咨询单位审定的价格较低者。协议最高金额分别根据上一年的使用情况和协议期预期使用情况估算。云值机系统及三项业务上云系统部署与服务协议的费用在每季、</w:t>
      </w:r>
      <w:r>
        <w:rPr>
          <w:rFonts w:cs="宋体" w:asciiTheme="minorEastAsia" w:hAnsiTheme="minorEastAsia" w:eastAsiaTheme="minorEastAsia"/>
          <w:sz w:val="24"/>
          <w:szCs w:val="24"/>
          <w:lang w:eastAsia="zh-CN"/>
        </w:rPr>
        <w:t>FT2.0</w:t>
      </w:r>
      <w:r>
        <w:rPr>
          <w:rFonts w:hint="eastAsia" w:cs="宋体" w:asciiTheme="minorEastAsia" w:hAnsiTheme="minorEastAsia" w:eastAsiaTheme="minorEastAsia"/>
          <w:sz w:val="24"/>
          <w:szCs w:val="24"/>
          <w:lang w:eastAsia="zh-CN"/>
        </w:rPr>
        <w:t>赋能平台服务在每半年接受有关服务后，苏锡常南部高速公司以自有资金或符合资金用途的融资款项自行拨付。</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自交割日起，苏锡常南部高速公司将按本公司与上述公司当时有效的服务协议条款继续进行相关日常关联交易。</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上述第1至9项有关交易的交易对方与本公司同受江苏交控控制，根据上海上市规则构成关联交易，有关费用总额占本公司最近一期经审计净资产绝对值的比例少于0.5%，有关关联交易无需披露。</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（10）江苏交控向苏锡常南部高速公司提供贷款</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江苏交控目前向苏锡常南部高速公司提供人民币6亿元的贷款，该贷款来自江苏交控发行的利率为3.76%的债券所募集的资金，债券到期日为2024年10月24日，用于苏锡常南部高速的建设。苏锡常南部高速公司按债券条款支付利息并偿还本金。基于债券的利率是根据发行时市场情况通过询价确定的且苏锡常南部高速公司没有为该贷款提供任何抵押品，本公司董事认为该贷款符合一般商业条款。完成目标股权的交割后，江苏交控将继续提供该贷款。</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根据上海上市规则第6.3.18条（二）的规定，江苏交控提供的贷款利率水平不高于贷款市场报价利率，且上市公司无需提供担保，可以免于按照关联交易的方式审议和披露。</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（11）江苏交控向苏锡常南部高速公司提供担保</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苏锡常南部高速公司为建设苏锡常南部高速自6家商业银行及国家开发银行取得固定资产贷款。目前，合计借款总额约人民币55.7832亿元。江苏交控就相关银行贷款提供担保。基于涉及的银行贷款并非循环贷款，江苏交控不需要苏锡常南部高速公司为该等贷款担保支付任何担保费或提供任何抵押品，本公司董事认为该等一次性贷款担保按一般商务条款或更佳条款进行。完成目标股权的交割后，江苏交控将继续提供该贷款担保。</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r>
        <w:rPr>
          <w:rFonts w:hint="eastAsia" w:cs="宋体" w:asciiTheme="minorEastAsia" w:hAnsiTheme="minorEastAsia" w:eastAsiaTheme="minorEastAsia"/>
          <w:sz w:val="24"/>
          <w:szCs w:val="24"/>
          <w:lang w:eastAsia="zh-CN"/>
        </w:rPr>
        <w:t>根据上海上市规则第6.3.18条（一）的规定，江苏交控提供的担保，本公司无需支付对价，属于不附任何义务的交易，可免于按照关联交易的方式审议和披露。</w:t>
      </w:r>
    </w:p>
    <w:p>
      <w:pPr>
        <w:adjustRightInd w:val="0"/>
        <w:snapToGrid w:val="0"/>
        <w:spacing w:before="156" w:beforeLines="50" w:after="156" w:afterLines="50" w:line="360" w:lineRule="auto"/>
        <w:ind w:firstLine="480" w:firstLineChars="200"/>
        <w:rPr>
          <w:rFonts w:hint="eastAsia" w:cs="宋体" w:asciiTheme="minorEastAsia" w:hAnsiTheme="minorEastAsia" w:eastAsiaTheme="minorEastAsia"/>
          <w:sz w:val="24"/>
          <w:szCs w:val="24"/>
          <w:lang w:eastAsia="zh-CN"/>
        </w:rPr>
      </w:pPr>
    </w:p>
    <w:p>
      <w:pPr>
        <w:pStyle w:val="2"/>
      </w:pPr>
      <w:r>
        <w:rPr>
          <w:rFonts w:hint="eastAsia"/>
        </w:rPr>
        <w:t>关联交易对上市公司的影响</w:t>
      </w:r>
    </w:p>
    <w:p>
      <w:pPr>
        <w:pStyle w:val="5"/>
      </w:pPr>
      <w:r>
        <w:rPr>
          <w:rFonts w:hint="eastAsia"/>
        </w:rPr>
        <w:t>（一）本次交易的必要性</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一是进一步完善南路网布局</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巩固苏南路网运营商领先地位。</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苏锡常南部高速位于城市中心城区南侧，与沪宁高速共同构成了苏锡常中心城区间的一南一北两条城际交通轴线，对提升区域通行能力起到重要作用。收购苏锡常南部高速进一步完善本公司在苏南路网的布局，扩大本公司运营公路规模与范围，增加优质资产储备、提升可持续发展能力。</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本公司作为苏南地区的路网运营商，具有成熟的运营管理经验，苏锡常南部高速公司自</w:t>
      </w:r>
      <w:r>
        <w:rPr>
          <w:rFonts w:cs="宋体" w:asciiTheme="minorEastAsia" w:hAnsiTheme="minorEastAsia" w:eastAsiaTheme="minorEastAsia"/>
          <w:sz w:val="24"/>
          <w:szCs w:val="24"/>
          <w:shd w:val="clear" w:color="auto" w:fill="FFFFFF"/>
          <w:lang w:val="en-US" w:eastAsia="zh-CN"/>
        </w:rPr>
        <w:t>2021</w:t>
      </w:r>
      <w:r>
        <w:rPr>
          <w:rFonts w:hint="eastAsia" w:cs="宋体" w:asciiTheme="minorEastAsia" w:hAnsiTheme="minorEastAsia" w:eastAsiaTheme="minorEastAsia"/>
          <w:sz w:val="24"/>
          <w:szCs w:val="24"/>
          <w:shd w:val="clear" w:color="auto" w:fill="FFFFFF"/>
          <w:lang w:val="en-US" w:eastAsia="zh-CN"/>
        </w:rPr>
        <w:t>年起已将其拥有的苏锡常南部高速及其附属设施委托本公司经营和管理。收购苏锡常南部高速公司股权后，目标公司的资产和本公司现有资产的高融合度有利于更快产生协同效应，进一步发挥规模效应，不仅能够帮助本公司扩大业务覆盖范围，优化路桥资源分配，实现路网统筹运营管理，更能进一步利用上市公司地位降低融资成本、提高盈利水平，有效提升沪宁走廊通行能力和全省路网一体化运营效益，巩固本公司在苏南区域路网运营商的优势地位。</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二是把握客车流量快速增长趋势，分享长三角一体化深化发展带来的交通需求增长红利。</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目前，苏南地区横向通道在无锡境内主要有本公司参股的沿江高速、本公司的沪宁高速及拟收购的苏锡常南部高速</w:t>
      </w:r>
      <w:r>
        <w:rPr>
          <w:rFonts w:cs="宋体" w:asciiTheme="minorEastAsia" w:hAnsiTheme="minorEastAsia" w:eastAsiaTheme="minorEastAsia"/>
          <w:sz w:val="24"/>
          <w:szCs w:val="24"/>
          <w:shd w:val="clear" w:color="auto" w:fill="FFFFFF"/>
          <w:lang w:val="en-US" w:eastAsia="zh-CN"/>
        </w:rPr>
        <w:t>3</w:t>
      </w:r>
      <w:r>
        <w:rPr>
          <w:rFonts w:hint="eastAsia" w:cs="宋体" w:asciiTheme="minorEastAsia" w:hAnsiTheme="minorEastAsia" w:eastAsiaTheme="minorEastAsia"/>
          <w:sz w:val="24"/>
          <w:szCs w:val="24"/>
          <w:shd w:val="clear" w:color="auto" w:fill="FFFFFF"/>
          <w:lang w:val="en-US" w:eastAsia="zh-CN"/>
        </w:rPr>
        <w:t>条高速。</w:t>
      </w:r>
      <w:r>
        <w:rPr>
          <w:rFonts w:cs="宋体" w:asciiTheme="minorEastAsia" w:hAnsiTheme="minorEastAsia" w:eastAsiaTheme="minorEastAsia"/>
          <w:sz w:val="24"/>
          <w:szCs w:val="24"/>
          <w:shd w:val="clear" w:color="auto" w:fill="FFFFFF"/>
          <w:lang w:val="en-US" w:eastAsia="zh-CN"/>
        </w:rPr>
        <w:t>2017</w:t>
      </w:r>
      <w:r>
        <w:rPr>
          <w:rFonts w:hint="eastAsia" w:cs="宋体" w:asciiTheme="minorEastAsia" w:hAnsiTheme="minorEastAsia" w:eastAsiaTheme="minorEastAsia"/>
          <w:sz w:val="24"/>
          <w:szCs w:val="24"/>
          <w:shd w:val="clear" w:color="auto" w:fill="FFFFFF"/>
          <w:lang w:val="en-US" w:eastAsia="zh-CN"/>
        </w:rPr>
        <w:t>年至今，除</w:t>
      </w:r>
      <w:r>
        <w:rPr>
          <w:rFonts w:cs="宋体" w:asciiTheme="minorEastAsia" w:hAnsiTheme="minorEastAsia" w:eastAsiaTheme="minorEastAsia"/>
          <w:sz w:val="24"/>
          <w:szCs w:val="24"/>
          <w:shd w:val="clear" w:color="auto" w:fill="FFFFFF"/>
          <w:lang w:val="en-US" w:eastAsia="zh-CN"/>
        </w:rPr>
        <w:t>2020-2022</w:t>
      </w:r>
      <w:r>
        <w:rPr>
          <w:rFonts w:hint="eastAsia" w:cs="宋体" w:asciiTheme="minorEastAsia" w:hAnsiTheme="minorEastAsia" w:eastAsiaTheme="minorEastAsia"/>
          <w:sz w:val="24"/>
          <w:szCs w:val="24"/>
          <w:shd w:val="clear" w:color="auto" w:fill="FFFFFF"/>
          <w:lang w:val="en-US" w:eastAsia="zh-CN"/>
        </w:rPr>
        <w:t>年特殊年份外，苏南横向通道流量均保持增长，其中沪宁高速、沿江高速平均增长率分别为</w:t>
      </w:r>
      <w:r>
        <w:rPr>
          <w:rFonts w:cs="宋体" w:asciiTheme="minorEastAsia" w:hAnsiTheme="minorEastAsia" w:eastAsiaTheme="minorEastAsia"/>
          <w:sz w:val="24"/>
          <w:szCs w:val="24"/>
          <w:shd w:val="clear" w:color="auto" w:fill="FFFFFF"/>
          <w:lang w:val="en-US" w:eastAsia="zh-CN"/>
        </w:rPr>
        <w:t>4.1%</w:t>
      </w:r>
      <w:r>
        <w:rPr>
          <w:rFonts w:hint="eastAsia" w:cs="宋体" w:asciiTheme="minorEastAsia" w:hAnsiTheme="minorEastAsia" w:eastAsiaTheme="minorEastAsia"/>
          <w:sz w:val="24"/>
          <w:szCs w:val="24"/>
          <w:shd w:val="clear" w:color="auto" w:fill="FFFFFF"/>
          <w:lang w:val="en-US" w:eastAsia="zh-CN"/>
        </w:rPr>
        <w:t>、</w:t>
      </w:r>
      <w:r>
        <w:rPr>
          <w:rFonts w:cs="宋体" w:asciiTheme="minorEastAsia" w:hAnsiTheme="minorEastAsia" w:eastAsiaTheme="minorEastAsia"/>
          <w:sz w:val="24"/>
          <w:szCs w:val="24"/>
          <w:shd w:val="clear" w:color="auto" w:fill="FFFFFF"/>
          <w:lang w:val="en-US" w:eastAsia="zh-CN"/>
        </w:rPr>
        <w:t>5.5%</w:t>
      </w:r>
      <w:r>
        <w:rPr>
          <w:rFonts w:hint="eastAsia" w:cs="宋体" w:asciiTheme="minorEastAsia" w:hAnsiTheme="minorEastAsia" w:eastAsiaTheme="minorEastAsia"/>
          <w:sz w:val="24"/>
          <w:szCs w:val="24"/>
          <w:shd w:val="clear" w:color="auto" w:fill="FFFFFF"/>
          <w:lang w:val="en-US" w:eastAsia="zh-CN"/>
        </w:rPr>
        <w:t>。苏锡常南部高速开通时间至今较短，其车流量处于快速增长期。</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随着经济的不断发展，全国及江苏机动车保有量快速增长，有力支撑了高速公路流量的增长。从江苏</w:t>
      </w:r>
      <w:bookmarkStart w:id="4" w:name="_GoBack"/>
      <w:bookmarkEnd w:id="4"/>
      <w:r>
        <w:rPr>
          <w:rFonts w:hint="eastAsia" w:cs="宋体" w:asciiTheme="minorEastAsia" w:hAnsiTheme="minorEastAsia" w:eastAsiaTheme="minorEastAsia"/>
          <w:sz w:val="24"/>
          <w:szCs w:val="24"/>
          <w:shd w:val="clear" w:color="auto" w:fill="FFFFFF"/>
          <w:lang w:val="en-US" w:eastAsia="zh-CN"/>
        </w:rPr>
        <w:t>省及全国各地高速公路车型的发展经验看，客车的增长速度普遍高于货车，导致路网中客车比例不断增加。此外，近年来苏南地区地方城市道路拥堵日益加剧，高速公路也成为区域通勤交通的选择之一，短距离出行的小客车显着增加。因此估计未来客车增长快过货车，导致客车比例将会持续提升；因小客车进一步普及以及城际铁路建设等因素，小客车占所有客车车型的比例也会同步提升。苏锡常南部高速以承担客运功能为主，随着苏南地区发展及长三角地区一体化深化发展，正切合地区发展需求。</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本次收购可以有效地改善沪宁高速无锡段运营速度，提升流量增长，有利于本公司持续分享苏南发展的横向通道流量增长及至长三角地区一体化深化发展带来的交通需求增长红利。</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三是减轻路网分流影响，承接苏南路网集中改扩建时期流量溢出的机遇。</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苏锡常南部高速与沪宁高速常州段、无锡段基本平行，是苏南地区高速公路网规划中四条横向贯通性道路之一，开通后在通道内流量分担比例已超过</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。对其周边道路的分流作用较为显着。随着未来区域流量持续增长，苏锡常南部高速承接沪宁高速等周边高速道路溢出流量的比例将会进一步提升。</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在未来</w:t>
      </w:r>
      <w:r>
        <w:rPr>
          <w:rFonts w:cs="宋体" w:asciiTheme="minorEastAsia" w:hAnsiTheme="minorEastAsia" w:eastAsiaTheme="minorEastAsia"/>
          <w:sz w:val="24"/>
          <w:szCs w:val="24"/>
          <w:shd w:val="clear" w:color="auto" w:fill="FFFFFF"/>
          <w:lang w:val="en-US" w:eastAsia="zh-CN"/>
        </w:rPr>
        <w:t>8</w:t>
      </w:r>
      <w:r>
        <w:rPr>
          <w:rFonts w:hint="eastAsia" w:cs="宋体" w:asciiTheme="minorEastAsia" w:hAnsiTheme="minorEastAsia" w:eastAsiaTheme="minorEastAsia"/>
          <w:sz w:val="24"/>
          <w:szCs w:val="24"/>
          <w:shd w:val="clear" w:color="auto" w:fill="FFFFFF"/>
          <w:lang w:val="en-US" w:eastAsia="zh-CN"/>
        </w:rPr>
        <w:t>年间，苏锡常南部高速周边公路路网集中改扩建。沿江高速扩建主体工程将于</w:t>
      </w:r>
      <w:r>
        <w:rPr>
          <w:rFonts w:cs="宋体" w:asciiTheme="minorEastAsia" w:hAnsiTheme="minorEastAsia" w:eastAsiaTheme="minorEastAsia"/>
          <w:sz w:val="24"/>
          <w:szCs w:val="24"/>
          <w:shd w:val="clear" w:color="auto" w:fill="FFFFFF"/>
          <w:lang w:val="en-US" w:eastAsia="zh-CN"/>
        </w:rPr>
        <w:t>2024</w:t>
      </w:r>
      <w:r>
        <w:rPr>
          <w:rFonts w:hint="eastAsia" w:cs="宋体" w:asciiTheme="minorEastAsia" w:hAnsiTheme="minorEastAsia" w:eastAsiaTheme="minorEastAsia"/>
          <w:sz w:val="24"/>
          <w:szCs w:val="24"/>
          <w:shd w:val="clear" w:color="auto" w:fill="FFFFFF"/>
          <w:lang w:val="en-US" w:eastAsia="zh-CN"/>
        </w:rPr>
        <w:t>年全面开工，</w:t>
      </w:r>
      <w:r>
        <w:rPr>
          <w:rFonts w:cs="宋体" w:asciiTheme="minorEastAsia" w:hAnsiTheme="minorEastAsia" w:eastAsiaTheme="minorEastAsia"/>
          <w:sz w:val="24"/>
          <w:szCs w:val="24"/>
          <w:shd w:val="clear" w:color="auto" w:fill="FFFFFF"/>
          <w:lang w:val="en-US" w:eastAsia="zh-CN"/>
        </w:rPr>
        <w:t>2024</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-2027</w:t>
      </w:r>
      <w:r>
        <w:rPr>
          <w:rFonts w:hint="eastAsia" w:cs="宋体" w:asciiTheme="minorEastAsia" w:hAnsiTheme="minorEastAsia" w:eastAsiaTheme="minorEastAsia"/>
          <w:sz w:val="24"/>
          <w:szCs w:val="24"/>
          <w:shd w:val="clear" w:color="auto" w:fill="FFFFFF"/>
          <w:lang w:val="en-US" w:eastAsia="zh-CN"/>
        </w:rPr>
        <w:t>年改扩建期间，预计部分货车将分流至沪宁高速等其他高速公路，该区域路网中苏锡常南部高速具备较大富余能力承接路网分流客车。如沪宁高速改扩建工程落实进行，苏锡常南部高速将承接</w:t>
      </w:r>
      <w:r>
        <w:rPr>
          <w:rFonts w:cs="宋体" w:asciiTheme="minorEastAsia" w:hAnsiTheme="minorEastAsia" w:eastAsiaTheme="minorEastAsia"/>
          <w:sz w:val="24"/>
          <w:szCs w:val="24"/>
          <w:shd w:val="clear" w:color="auto" w:fill="FFFFFF"/>
          <w:lang w:val="en-US" w:eastAsia="zh-CN"/>
        </w:rPr>
        <w:t>2027-2031</w:t>
      </w:r>
      <w:r>
        <w:rPr>
          <w:rFonts w:hint="eastAsia" w:cs="宋体" w:asciiTheme="minorEastAsia" w:hAnsiTheme="minorEastAsia" w:eastAsiaTheme="minorEastAsia"/>
          <w:sz w:val="24"/>
          <w:szCs w:val="24"/>
          <w:shd w:val="clear" w:color="auto" w:fill="FFFFFF"/>
          <w:lang w:val="en-US" w:eastAsia="zh-CN"/>
        </w:rPr>
        <w:t>年间沪宁高速组织改扩建工程溢出车流量，减少沪宁高速改扩建工程对本公司当期营业收入的影响。</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本次收购不仅可以消除苏锡常南部高速在苏南无锡区域对沪宁高速等本公司控股或参股道路产生的分流影响，还让本公司做好承接苏南路网集中改扩建时期流量溢出的机遇准备。</w:t>
      </w:r>
    </w:p>
    <w:p>
      <w:pPr>
        <w:pStyle w:val="5"/>
      </w:pPr>
      <w:r>
        <w:rPr>
          <w:rFonts w:hint="eastAsia"/>
        </w:rPr>
        <w:t>（二）交易对本公司的财务影响</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收购完成后，苏锡常南部高速公司将成为本公司的控股子公司，其资产及负债将并入公司账目。</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苏锡常南部高速开通以来，其车流量处于快速增长期。根据截至</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31</w:t>
      </w:r>
      <w:r>
        <w:rPr>
          <w:rFonts w:hint="eastAsia" w:cs="宋体" w:asciiTheme="minorEastAsia" w:hAnsiTheme="minorEastAsia" w:eastAsiaTheme="minorEastAsia"/>
          <w:sz w:val="24"/>
          <w:szCs w:val="24"/>
          <w:shd w:val="clear" w:color="auto" w:fill="FFFFFF"/>
          <w:lang w:val="en-US" w:eastAsia="zh-CN"/>
        </w:rPr>
        <w:t>日止</w:t>
      </w:r>
      <w:r>
        <w:rPr>
          <w:rFonts w:cs="宋体" w:asciiTheme="minorEastAsia" w:hAnsiTheme="minorEastAsia" w:eastAsiaTheme="minorEastAsia"/>
          <w:sz w:val="24"/>
          <w:szCs w:val="24"/>
          <w:shd w:val="clear" w:color="auto" w:fill="FFFFFF"/>
          <w:lang w:val="en-US" w:eastAsia="zh-CN"/>
        </w:rPr>
        <w:t>10</w:t>
      </w:r>
      <w:r>
        <w:rPr>
          <w:rFonts w:hint="eastAsia" w:cs="宋体" w:asciiTheme="minorEastAsia" w:hAnsiTheme="minorEastAsia" w:eastAsiaTheme="minorEastAsia"/>
          <w:sz w:val="24"/>
          <w:szCs w:val="24"/>
          <w:shd w:val="clear" w:color="auto" w:fill="FFFFFF"/>
          <w:lang w:val="en-US" w:eastAsia="zh-CN"/>
        </w:rPr>
        <w:t>个月经审计的财务报表，</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1-10</w:t>
      </w:r>
      <w:r>
        <w:rPr>
          <w:rFonts w:hint="eastAsia" w:cs="宋体" w:asciiTheme="minorEastAsia" w:hAnsiTheme="minorEastAsia" w:eastAsiaTheme="minorEastAsia"/>
          <w:sz w:val="24"/>
          <w:szCs w:val="24"/>
          <w:shd w:val="clear" w:color="auto" w:fill="FFFFFF"/>
          <w:lang w:val="en-US" w:eastAsia="zh-CN"/>
        </w:rPr>
        <w:t>月营业亏损约为人民币</w:t>
      </w:r>
      <w:r>
        <w:rPr>
          <w:rFonts w:cs="宋体" w:asciiTheme="minorEastAsia" w:hAnsiTheme="minorEastAsia" w:eastAsiaTheme="minorEastAsia"/>
          <w:sz w:val="24"/>
          <w:szCs w:val="24"/>
          <w:shd w:val="clear" w:color="auto" w:fill="FFFFFF"/>
          <w:lang w:val="en-US" w:eastAsia="zh-CN"/>
        </w:rPr>
        <w:t>1.70</w:t>
      </w:r>
      <w:r>
        <w:rPr>
          <w:rFonts w:hint="eastAsia" w:cs="宋体" w:asciiTheme="minorEastAsia" w:hAnsiTheme="minorEastAsia" w:eastAsiaTheme="minorEastAsia"/>
          <w:sz w:val="24"/>
          <w:szCs w:val="24"/>
          <w:shd w:val="clear" w:color="auto" w:fill="FFFFFF"/>
          <w:lang w:val="en-US" w:eastAsia="zh-CN"/>
        </w:rPr>
        <w:t>亿元，相比</w:t>
      </w:r>
      <w:r>
        <w:rPr>
          <w:rFonts w:cs="宋体" w:asciiTheme="minorEastAsia" w:hAnsiTheme="minorEastAsia" w:eastAsiaTheme="minorEastAsia"/>
          <w:sz w:val="24"/>
          <w:szCs w:val="24"/>
          <w:shd w:val="clear" w:color="auto" w:fill="FFFFFF"/>
          <w:lang w:val="en-US" w:eastAsia="zh-CN"/>
        </w:rPr>
        <w:t>2022</w:t>
      </w:r>
      <w:r>
        <w:rPr>
          <w:rFonts w:hint="eastAsia" w:cs="宋体" w:asciiTheme="minorEastAsia" w:hAnsiTheme="minorEastAsia" w:eastAsiaTheme="minorEastAsia"/>
          <w:sz w:val="24"/>
          <w:szCs w:val="24"/>
          <w:shd w:val="clear" w:color="auto" w:fill="FFFFFF"/>
          <w:lang w:val="en-US" w:eastAsia="zh-CN"/>
        </w:rPr>
        <w:t>年同期亏损</w:t>
      </w:r>
      <w:r>
        <w:rPr>
          <w:rFonts w:cs="宋体" w:asciiTheme="minorEastAsia" w:hAnsiTheme="minorEastAsia" w:eastAsiaTheme="minorEastAsia"/>
          <w:sz w:val="24"/>
          <w:szCs w:val="24"/>
          <w:shd w:val="clear" w:color="auto" w:fill="FFFFFF"/>
          <w:lang w:val="en-US" w:eastAsia="zh-CN"/>
        </w:rPr>
        <w:t>2.49</w:t>
      </w:r>
      <w:r>
        <w:rPr>
          <w:rFonts w:hint="eastAsia" w:cs="宋体" w:asciiTheme="minorEastAsia" w:hAnsiTheme="minorEastAsia" w:eastAsiaTheme="minorEastAsia"/>
          <w:sz w:val="24"/>
          <w:szCs w:val="24"/>
          <w:shd w:val="clear" w:color="auto" w:fill="FFFFFF"/>
          <w:lang w:val="en-US" w:eastAsia="zh-CN"/>
        </w:rPr>
        <w:t>亿已经有所收窄</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营业收入</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人民币</w:t>
      </w:r>
      <w:r>
        <w:rPr>
          <w:rFonts w:cs="宋体" w:asciiTheme="minorEastAsia" w:hAnsiTheme="minorEastAsia" w:eastAsiaTheme="minorEastAsia"/>
          <w:sz w:val="24"/>
          <w:szCs w:val="24"/>
          <w:shd w:val="clear" w:color="auto" w:fill="FFFFFF"/>
          <w:lang w:val="en-US" w:eastAsia="zh-CN"/>
        </w:rPr>
        <w:t>4.98</w:t>
      </w:r>
      <w:r>
        <w:rPr>
          <w:rFonts w:hint="eastAsia" w:cs="宋体" w:asciiTheme="minorEastAsia" w:hAnsiTheme="minorEastAsia" w:eastAsiaTheme="minorEastAsia"/>
          <w:sz w:val="24"/>
          <w:szCs w:val="24"/>
          <w:shd w:val="clear" w:color="auto" w:fill="FFFFFF"/>
          <w:lang w:val="en-US" w:eastAsia="zh-CN"/>
        </w:rPr>
        <w:t>亿元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已经可抵销营业成本</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人民币</w:t>
      </w:r>
      <w:r>
        <w:rPr>
          <w:rFonts w:cs="宋体" w:asciiTheme="minorEastAsia" w:hAnsiTheme="minorEastAsia" w:eastAsiaTheme="minorEastAsia"/>
          <w:sz w:val="24"/>
          <w:szCs w:val="24"/>
          <w:shd w:val="clear" w:color="auto" w:fill="FFFFFF"/>
          <w:lang w:val="en-US" w:eastAsia="zh-CN"/>
        </w:rPr>
        <w:t>4.44</w:t>
      </w:r>
      <w:r>
        <w:rPr>
          <w:rFonts w:hint="eastAsia" w:cs="宋体" w:asciiTheme="minorEastAsia" w:hAnsiTheme="minorEastAsia" w:eastAsiaTheme="minorEastAsia"/>
          <w:sz w:val="24"/>
          <w:szCs w:val="24"/>
          <w:shd w:val="clear" w:color="auto" w:fill="FFFFFF"/>
          <w:lang w:val="en-US" w:eastAsia="zh-CN"/>
        </w:rPr>
        <w:t>亿元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随着收费公路的运营</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建设贷款等融资还款期已开始</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财务费用人民币</w:t>
      </w:r>
      <w:r>
        <w:rPr>
          <w:rFonts w:cs="宋体" w:asciiTheme="minorEastAsia" w:hAnsiTheme="minorEastAsia" w:eastAsiaTheme="minorEastAsia"/>
          <w:sz w:val="24"/>
          <w:szCs w:val="24"/>
          <w:shd w:val="clear" w:color="auto" w:fill="FFFFFF"/>
          <w:lang w:val="en-US" w:eastAsia="zh-CN"/>
        </w:rPr>
        <w:t>2.241</w:t>
      </w:r>
      <w:r>
        <w:rPr>
          <w:rFonts w:hint="eastAsia" w:cs="宋体" w:asciiTheme="minorEastAsia" w:hAnsiTheme="minorEastAsia" w:eastAsiaTheme="minorEastAsia"/>
          <w:sz w:val="24"/>
          <w:szCs w:val="24"/>
          <w:shd w:val="clear" w:color="auto" w:fill="FFFFFF"/>
          <w:lang w:val="en-US" w:eastAsia="zh-CN"/>
        </w:rPr>
        <w:t>亿元已较</w:t>
      </w:r>
      <w:r>
        <w:rPr>
          <w:rFonts w:cs="宋体" w:asciiTheme="minorEastAsia" w:hAnsiTheme="minorEastAsia" w:eastAsiaTheme="minorEastAsia"/>
          <w:sz w:val="24"/>
          <w:szCs w:val="24"/>
          <w:shd w:val="clear" w:color="auto" w:fill="FFFFFF"/>
          <w:lang w:val="en-US" w:eastAsia="zh-CN"/>
        </w:rPr>
        <w:t>2022</w:t>
      </w:r>
      <w:r>
        <w:rPr>
          <w:rFonts w:hint="eastAsia" w:cs="宋体" w:asciiTheme="minorEastAsia" w:hAnsiTheme="minorEastAsia" w:eastAsiaTheme="minorEastAsia"/>
          <w:sz w:val="24"/>
          <w:szCs w:val="24"/>
          <w:shd w:val="clear" w:color="auto" w:fill="FFFFFF"/>
          <w:lang w:val="en-US" w:eastAsia="zh-CN"/>
        </w:rPr>
        <w:t>年同期减少人民币</w:t>
      </w:r>
      <w:r>
        <w:rPr>
          <w:rFonts w:cs="宋体" w:asciiTheme="minorEastAsia" w:hAnsiTheme="minorEastAsia" w:eastAsiaTheme="minorEastAsia"/>
          <w:sz w:val="24"/>
          <w:szCs w:val="24"/>
          <w:shd w:val="clear" w:color="auto" w:fill="FFFFFF"/>
          <w:lang w:val="en-US" w:eastAsia="zh-CN"/>
        </w:rPr>
        <w:t>0.27</w:t>
      </w:r>
      <w:r>
        <w:rPr>
          <w:rFonts w:hint="eastAsia" w:cs="宋体" w:asciiTheme="minorEastAsia" w:hAnsiTheme="minorEastAsia" w:eastAsiaTheme="minorEastAsia"/>
          <w:sz w:val="24"/>
          <w:szCs w:val="24"/>
          <w:shd w:val="clear" w:color="auto" w:fill="FFFFFF"/>
          <w:lang w:val="en-US" w:eastAsia="zh-CN"/>
        </w:rPr>
        <w:t>亿元</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预计此次收购可在短期内获取收益和在未来成为本公司的利润新增长点。</w:t>
      </w:r>
    </w:p>
    <w:p>
      <w:pPr>
        <w:pStyle w:val="2"/>
      </w:pPr>
      <w:r>
        <w:rPr>
          <w:rFonts w:hint="eastAsia"/>
        </w:rPr>
        <w:t>该关联交易应当履行的审议程序</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本次关联交易议案和与无锡交通签订意向书已经公司第十届董事会第二十四次会议审议通过，关联董事徐海北先生、王颖健先生回避了表决。</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本次收购事项需提交股东大会审议且江苏交控及其联系人需回避表决。</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本公司</w:t>
      </w:r>
      <w:r>
        <w:rPr>
          <w:rFonts w:cs="宋体" w:asciiTheme="minorEastAsia" w:hAnsiTheme="minorEastAsia" w:eastAsiaTheme="minorEastAsia"/>
          <w:sz w:val="24"/>
          <w:szCs w:val="24"/>
          <w:shd w:val="clear" w:color="auto" w:fill="FFFFFF"/>
          <w:lang w:val="en-US" w:eastAsia="zh-CN"/>
        </w:rPr>
        <w:t>5</w:t>
      </w:r>
      <w:r>
        <w:rPr>
          <w:rFonts w:hint="eastAsia" w:cs="宋体" w:asciiTheme="minorEastAsia" w:hAnsiTheme="minorEastAsia" w:eastAsiaTheme="minorEastAsia"/>
          <w:sz w:val="24"/>
          <w:szCs w:val="24"/>
          <w:shd w:val="clear" w:color="auto" w:fill="FFFFFF"/>
          <w:lang w:val="en-US" w:eastAsia="zh-CN"/>
        </w:rPr>
        <w:t>位独立董事发表了事前认可意见，同意将本次关联交易议案提交第十届董事会第二十四次会议审议：本公司基于战略发展规划要求，不断提升本公司综合盈利能力及核心竞争力，有利于本公司的长远发展，符合本公司整体利益。该项交易条款属一般的商业条款，交易价格公允合理，对本公司并无负面影响，不存在损害本公司及全体股东，特别是中小股东利益的情形。</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在董事会审议收购事项时发表独立意见如下：</w:t>
      </w:r>
      <w:r>
        <w:rPr>
          <w:rFonts w:cs="宋体" w:asciiTheme="minorEastAsia" w:hAnsiTheme="minorEastAsia" w:eastAsiaTheme="minorEastAsia"/>
          <w:sz w:val="24"/>
          <w:szCs w:val="24"/>
          <w:shd w:val="clear" w:color="auto" w:fill="FFFFFF"/>
          <w:lang w:val="en-US" w:eastAsia="zh-CN"/>
        </w:rPr>
        <w:t>1</w:t>
      </w:r>
      <w:r>
        <w:rPr>
          <w:rFonts w:hint="eastAsia" w:cs="宋体" w:asciiTheme="minorEastAsia" w:hAnsiTheme="minorEastAsia" w:eastAsiaTheme="minorEastAsia"/>
          <w:sz w:val="24"/>
          <w:szCs w:val="24"/>
          <w:shd w:val="clear" w:color="auto" w:fill="FFFFFF"/>
          <w:lang w:val="en-US" w:eastAsia="zh-CN"/>
        </w:rPr>
        <w:t>、本次交易已由本公司聘请的符合《证券法》要求的评估机构对交易目标进行评估，该评估机构具有充分的独立性；</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、本次交易以收益法作为本次评估结果，该评估方法与目标公司所处行业特性相适应，符合相关法律法规的要求。评估的假设前提合理、评估方法的选取得当、评估参数选取合理；</w:t>
      </w:r>
      <w:r>
        <w:rPr>
          <w:rFonts w:cs="宋体" w:asciiTheme="minorEastAsia" w:hAnsiTheme="minorEastAsia" w:eastAsiaTheme="minorEastAsia"/>
          <w:sz w:val="24"/>
          <w:szCs w:val="24"/>
          <w:shd w:val="clear" w:color="auto" w:fill="FFFFFF"/>
          <w:lang w:val="en-US" w:eastAsia="zh-CN"/>
        </w:rPr>
        <w:t>3</w:t>
      </w:r>
      <w:r>
        <w:rPr>
          <w:rFonts w:hint="eastAsia" w:cs="宋体" w:asciiTheme="minorEastAsia" w:hAnsiTheme="minorEastAsia" w:eastAsiaTheme="minorEastAsia"/>
          <w:sz w:val="24"/>
          <w:szCs w:val="24"/>
          <w:shd w:val="clear" w:color="auto" w:fill="FFFFFF"/>
          <w:lang w:val="en-US" w:eastAsia="zh-CN"/>
        </w:rPr>
        <w:t>、本次交易价格以符合《证券法》要求的资产评估机构的评估结果为基础确定，交易定价客观公正，交易行为公允，符合本公司和股东的利益，不存在损害非关联股东特别是中小股东利益的情形；</w:t>
      </w:r>
      <w:r>
        <w:rPr>
          <w:rFonts w:cs="宋体" w:asciiTheme="minorEastAsia" w:hAnsiTheme="minorEastAsia" w:eastAsiaTheme="minorEastAsia"/>
          <w:sz w:val="24"/>
          <w:szCs w:val="24"/>
          <w:shd w:val="clear" w:color="auto" w:fill="FFFFFF"/>
          <w:lang w:val="en-US" w:eastAsia="zh-CN"/>
        </w:rPr>
        <w:t>4</w:t>
      </w:r>
      <w:r>
        <w:rPr>
          <w:rFonts w:hint="eastAsia" w:cs="宋体" w:asciiTheme="minorEastAsia" w:hAnsiTheme="minorEastAsia" w:eastAsiaTheme="minorEastAsia"/>
          <w:sz w:val="24"/>
          <w:szCs w:val="24"/>
          <w:shd w:val="clear" w:color="auto" w:fill="FFFFFF"/>
          <w:lang w:val="en-US" w:eastAsia="zh-CN"/>
        </w:rPr>
        <w:t>、本次关联交易的内容、决策程序合法合规，符合《公司法》、《证券法》和《上海证券交易所股票上市规则》等有关法律、法规和《公司章程》的规定。本公司董事会在对本次关联交易进行表决时，关联董事回避表决，其他非关联董事参与表决同意本次关联交易的议案，表决程序符合有关法律法规的规定。</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本公司审计委员会对本次关联交易议案发表书面审核意见如下：本次收购事项履行了必要的审计、评估及其他程序，交易价格基于评估结果协商确定，定价客观、公允、合理，不涉及损害股东利益的情形。我们同意将上述关联交易议案提交公司第十届董事会第二十四次会议审议。本次交易尚须获得股东大会的批准，与该关联交易有关的关联方江苏交控将放弃行使在股东大会上对该议案的投票权。江苏交控贷款及江苏交控担保、交割后的日常关联交易属于本公司日常业务合同范畴，合同定价均按照市场公允价格，不会损害公司利益，也不存在对集团内部关联方进行利益输送的情形；同时，相关业务可以发挥集团内部关联公司的协同效应，进一步节约本公司的管理成本、提升管理效率，保证主营业务的有效运营。本公司的收入、利润对该类关联交易并不存在依赖性，也不存在影响上市公司独立性的情形，对本公司并无负面影响。</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考虑到上述因素，本公司董事（包括独立非执行董事）相信</w:t>
      </w:r>
      <w:r>
        <w:rPr>
          <w:rFonts w:cs="宋体" w:asciiTheme="minorEastAsia" w:hAnsiTheme="minorEastAsia" w:eastAsiaTheme="minorEastAsia"/>
          <w:sz w:val="24"/>
          <w:szCs w:val="24"/>
          <w:shd w:val="clear" w:color="auto" w:fill="FFFFFF"/>
          <w:lang w:val="en-US" w:eastAsia="zh-CN"/>
        </w:rPr>
        <w:t>:</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1.</w:t>
      </w:r>
      <w:r>
        <w:rPr>
          <w:rFonts w:cs="宋体" w:asciiTheme="minorEastAsia" w:hAnsiTheme="minorEastAsia" w:eastAsiaTheme="minorEastAsia"/>
          <w:sz w:val="24"/>
          <w:szCs w:val="24"/>
          <w:shd w:val="clear" w:color="auto" w:fill="FFFFFF"/>
          <w:lang w:val="en-US" w:eastAsia="zh-CN"/>
        </w:rPr>
        <w:tab/>
      </w:r>
      <w:r>
        <w:rPr>
          <w:rFonts w:hint="eastAsia" w:cs="宋体" w:asciiTheme="minorEastAsia" w:hAnsiTheme="minorEastAsia" w:eastAsiaTheme="minorEastAsia"/>
          <w:sz w:val="24"/>
          <w:szCs w:val="24"/>
          <w:shd w:val="clear" w:color="auto" w:fill="FFFFFF"/>
          <w:lang w:val="en-US" w:eastAsia="zh-CN"/>
        </w:rPr>
        <w:t>收购事项交易条款（包括转让对价）公平合理、且符合本公司及股东整体利益。本次交易目标均经具备从业资格的独立评估机构进行评估，评估方法、评估假设等重要评估参数合理。交易未损害本公司及全体股东、特别是中小股东的利益。</w:t>
      </w:r>
    </w:p>
    <w:p>
      <w:pPr>
        <w:spacing w:line="360" w:lineRule="auto"/>
        <w:ind w:firstLine="480" w:firstLineChars="200"/>
        <w:rPr>
          <w:rFonts w:cs="宋体" w:asciiTheme="minorEastAsia" w:hAnsiTheme="minorEastAsia" w:eastAsiaTheme="minorEastAsia"/>
          <w:sz w:val="24"/>
          <w:szCs w:val="24"/>
          <w:shd w:val="clear" w:color="auto" w:fill="FFFFFF"/>
          <w:lang w:val="en-US" w:eastAsia="zh-CN"/>
        </w:rPr>
      </w:pPr>
      <w:r>
        <w:rPr>
          <w:rFonts w:cs="宋体" w:asciiTheme="minorEastAsia" w:hAnsiTheme="minorEastAsia" w:eastAsiaTheme="minorEastAsia"/>
          <w:sz w:val="24"/>
          <w:szCs w:val="24"/>
          <w:shd w:val="clear" w:color="auto" w:fill="FFFFFF"/>
          <w:lang w:val="en-US" w:eastAsia="zh-CN"/>
        </w:rPr>
        <w:t>2.</w:t>
      </w:r>
      <w:r>
        <w:rPr>
          <w:rFonts w:cs="宋体" w:asciiTheme="minorEastAsia" w:hAnsiTheme="minorEastAsia" w:eastAsiaTheme="minorEastAsia"/>
          <w:sz w:val="24"/>
          <w:szCs w:val="24"/>
          <w:shd w:val="clear" w:color="auto" w:fill="FFFFFF"/>
          <w:lang w:val="en-US" w:eastAsia="zh-CN"/>
        </w:rPr>
        <w:tab/>
      </w:r>
      <w:r>
        <w:rPr>
          <w:rFonts w:hint="eastAsia" w:cs="宋体" w:asciiTheme="minorEastAsia" w:hAnsiTheme="minorEastAsia" w:eastAsiaTheme="minorEastAsia"/>
          <w:sz w:val="24"/>
          <w:szCs w:val="24"/>
          <w:shd w:val="clear" w:color="auto" w:fill="FFFFFF"/>
          <w:lang w:val="en-US" w:eastAsia="zh-CN"/>
        </w:rPr>
        <w:t>江苏交控贷款及江苏交控担保、交割后的日常关联交易</w:t>
      </w:r>
      <w:r>
        <w:rPr>
          <w:rFonts w:cs="宋体" w:asciiTheme="minorEastAsia" w:hAnsiTheme="minorEastAsia" w:eastAsiaTheme="minorEastAsia"/>
          <w:sz w:val="24"/>
          <w:szCs w:val="24"/>
          <w:shd w:val="clear" w:color="auto" w:fill="FFFFFF"/>
          <w:lang w:val="en-US" w:eastAsia="zh-CN"/>
        </w:rPr>
        <w:t>/</w:t>
      </w:r>
      <w:r>
        <w:rPr>
          <w:rFonts w:hint="eastAsia" w:cs="宋体" w:asciiTheme="minorEastAsia" w:hAnsiTheme="minorEastAsia" w:eastAsiaTheme="minorEastAsia"/>
          <w:sz w:val="24"/>
          <w:szCs w:val="24"/>
          <w:shd w:val="clear" w:color="auto" w:fill="FFFFFF"/>
          <w:lang w:val="en-US" w:eastAsia="zh-CN"/>
        </w:rPr>
        <w:t>持续关联交易属于本公司日常业务合同范畴，合同定价均按照市场公允价格，不会损害公司利益，也不存在对集团内部关联人士进行利益输送的情形；同时，相关业务可以发挥集团内部关联公司的协同效应，进一步节约本公司的管理成本、提升管理效率，保证主营业务的有效运营。本公司的收入、利润对该类关联交易并不存在依赖性，也不存在影响上市公司独立性的情形，对本公司并无负面影响。</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因此，本公司董事会（包括独立非执行董事）认为，有关交易乃是在本公司日常业务中进行，属一般的商业条款，交易条款公平合理，且符合本公司及其股东的整体利益。</w:t>
      </w:r>
    </w:p>
    <w:p>
      <w:pPr>
        <w:spacing w:line="360" w:lineRule="auto"/>
        <w:ind w:firstLine="480" w:firstLineChars="200"/>
        <w:contextualSpacing/>
        <w:rPr>
          <w:rFonts w:cs="宋体" w:asciiTheme="minorEastAsia" w:hAnsiTheme="minorEastAsia" w:eastAsiaTheme="minorEastAsia"/>
          <w:sz w:val="24"/>
          <w:szCs w:val="24"/>
          <w:shd w:val="clear" w:color="auto" w:fill="FFFFFF"/>
          <w:lang w:val="en-US" w:eastAsia="zh-CN"/>
        </w:rPr>
      </w:pPr>
      <w:r>
        <w:rPr>
          <w:rFonts w:hint="eastAsia" w:cs="宋体" w:asciiTheme="minorEastAsia" w:hAnsiTheme="minorEastAsia" w:eastAsiaTheme="minorEastAsia"/>
          <w:sz w:val="24"/>
          <w:szCs w:val="24"/>
          <w:shd w:val="clear" w:color="auto" w:fill="FFFFFF"/>
          <w:lang w:val="en-US" w:eastAsia="zh-CN"/>
        </w:rPr>
        <w:t>完成本次收购前必须先达成若干先决条件，因此本次收购可能会进行或可能不会继续进行。本公司或董事在本公告作出或提出的一切估算、推测、目标、预测及其他前瞻性声明均建基于一些假设。该些声明就其性质而言存在风险和不确定性，故不能用作对于未来业绩及发展的保证。有见及此，本公司的股东们及潜在投资者在买卖本公司的证券时应审慎而行。</w:t>
      </w:r>
    </w:p>
    <w:p>
      <w:pPr>
        <w:pStyle w:val="2"/>
      </w:pPr>
      <w:r>
        <w:rPr>
          <w:rFonts w:hint="eastAsia"/>
        </w:rPr>
        <w:t>需要特别说明的历史关联交易情况</w:t>
      </w:r>
    </w:p>
    <w:p>
      <w:pPr>
        <w:spacing w:line="360" w:lineRule="auto"/>
        <w:ind w:firstLine="480" w:firstLineChars="200"/>
        <w:rPr>
          <w:lang w:val="en-US" w:eastAsia="zh-CN"/>
        </w:rPr>
      </w:pP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17</w:t>
      </w:r>
      <w:r>
        <w:rPr>
          <w:rFonts w:hint="eastAsia" w:cs="宋体" w:asciiTheme="minorEastAsia" w:hAnsiTheme="minorEastAsia" w:eastAsiaTheme="minorEastAsia"/>
          <w:sz w:val="24"/>
          <w:szCs w:val="24"/>
          <w:shd w:val="clear" w:color="auto" w:fill="FFFFFF"/>
          <w:lang w:val="en-US" w:eastAsia="zh-CN"/>
        </w:rPr>
        <w:t>日，经本公司第十届董事会第十五次会议同意，本公司全资子公司宁沪投资公司将其持有的保理公司</w:t>
      </w:r>
      <w:r>
        <w:rPr>
          <w:rFonts w:cs="宋体" w:asciiTheme="minorEastAsia" w:hAnsiTheme="minorEastAsia" w:eastAsiaTheme="minorEastAsia"/>
          <w:sz w:val="24"/>
          <w:szCs w:val="24"/>
          <w:shd w:val="clear" w:color="auto" w:fill="FFFFFF"/>
          <w:lang w:val="en-US" w:eastAsia="zh-CN"/>
        </w:rPr>
        <w:t>100%</w:t>
      </w:r>
      <w:r>
        <w:rPr>
          <w:rFonts w:hint="eastAsia" w:cs="宋体" w:asciiTheme="minorEastAsia" w:hAnsiTheme="minorEastAsia" w:eastAsiaTheme="minorEastAsia"/>
          <w:sz w:val="24"/>
          <w:szCs w:val="24"/>
          <w:shd w:val="clear" w:color="auto" w:fill="FFFFFF"/>
          <w:lang w:val="en-US" w:eastAsia="zh-CN"/>
        </w:rPr>
        <w:t>股权转让给江苏交控和云杉资本。</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2</w:t>
      </w:r>
      <w:r>
        <w:rPr>
          <w:rFonts w:hint="eastAsia" w:cs="宋体" w:asciiTheme="minorEastAsia" w:hAnsiTheme="minorEastAsia" w:eastAsiaTheme="minorEastAsia"/>
          <w:sz w:val="24"/>
          <w:szCs w:val="24"/>
          <w:shd w:val="clear" w:color="auto" w:fill="FFFFFF"/>
          <w:lang w:val="en-US" w:eastAsia="zh-CN"/>
        </w:rPr>
        <w:t>月</w:t>
      </w:r>
      <w:r>
        <w:rPr>
          <w:rFonts w:cs="宋体" w:asciiTheme="minorEastAsia" w:hAnsiTheme="minorEastAsia" w:eastAsiaTheme="minorEastAsia"/>
          <w:sz w:val="24"/>
          <w:szCs w:val="24"/>
          <w:shd w:val="clear" w:color="auto" w:fill="FFFFFF"/>
          <w:lang w:val="en-US" w:eastAsia="zh-CN"/>
        </w:rPr>
        <w:t>27</w:t>
      </w:r>
      <w:r>
        <w:rPr>
          <w:rFonts w:hint="eastAsia" w:cs="宋体" w:asciiTheme="minorEastAsia" w:hAnsiTheme="minorEastAsia" w:eastAsiaTheme="minorEastAsia"/>
          <w:sz w:val="24"/>
          <w:szCs w:val="24"/>
          <w:shd w:val="clear" w:color="auto" w:fill="FFFFFF"/>
          <w:lang w:val="en-US" w:eastAsia="zh-CN"/>
        </w:rPr>
        <w:t>日，宁沪投资公司、保理公司与江苏交控、云杉资本签署了《股权转让协议》，根据国有资产管理部门备案后的评估结果，本次交易价格为人民币</w:t>
      </w:r>
      <w:r>
        <w:rPr>
          <w:rFonts w:cs="宋体" w:asciiTheme="minorEastAsia" w:hAnsiTheme="minorEastAsia" w:eastAsiaTheme="minorEastAsia"/>
          <w:sz w:val="24"/>
          <w:szCs w:val="24"/>
          <w:shd w:val="clear" w:color="auto" w:fill="FFFFFF"/>
          <w:lang w:val="en-US" w:eastAsia="zh-CN"/>
        </w:rPr>
        <w:t>34,600</w:t>
      </w:r>
      <w:r>
        <w:rPr>
          <w:rFonts w:hint="eastAsia" w:cs="宋体" w:asciiTheme="minorEastAsia" w:hAnsiTheme="minorEastAsia" w:eastAsiaTheme="minorEastAsia"/>
          <w:sz w:val="24"/>
          <w:szCs w:val="24"/>
          <w:shd w:val="clear" w:color="auto" w:fill="FFFFFF"/>
          <w:lang w:val="en-US" w:eastAsia="zh-CN"/>
        </w:rPr>
        <w:t>万元，其中：江苏交控</w:t>
      </w:r>
      <w:r>
        <w:rPr>
          <w:rFonts w:cs="宋体" w:asciiTheme="minorEastAsia" w:hAnsiTheme="minorEastAsia" w:eastAsiaTheme="minorEastAsia"/>
          <w:sz w:val="24"/>
          <w:szCs w:val="24"/>
          <w:shd w:val="clear" w:color="auto" w:fill="FFFFFF"/>
          <w:lang w:val="en-US" w:eastAsia="zh-CN"/>
        </w:rPr>
        <w:t>80%</w:t>
      </w:r>
      <w:r>
        <w:rPr>
          <w:rFonts w:hint="eastAsia" w:cs="宋体" w:asciiTheme="minorEastAsia" w:hAnsiTheme="minorEastAsia" w:eastAsiaTheme="minorEastAsia"/>
          <w:sz w:val="24"/>
          <w:szCs w:val="24"/>
          <w:shd w:val="clear" w:color="auto" w:fill="FFFFFF"/>
          <w:lang w:val="en-US" w:eastAsia="zh-CN"/>
        </w:rPr>
        <w:t>标的股权的转让对价为人民币</w:t>
      </w:r>
      <w:r>
        <w:rPr>
          <w:rFonts w:cs="宋体" w:asciiTheme="minorEastAsia" w:hAnsiTheme="minorEastAsia" w:eastAsiaTheme="minorEastAsia"/>
          <w:sz w:val="24"/>
          <w:szCs w:val="24"/>
          <w:shd w:val="clear" w:color="auto" w:fill="FFFFFF"/>
          <w:lang w:val="en-US" w:eastAsia="zh-CN"/>
        </w:rPr>
        <w:t>27,680</w:t>
      </w:r>
      <w:r>
        <w:rPr>
          <w:rFonts w:hint="eastAsia" w:cs="宋体" w:asciiTheme="minorEastAsia" w:hAnsiTheme="minorEastAsia" w:eastAsiaTheme="minorEastAsia"/>
          <w:sz w:val="24"/>
          <w:szCs w:val="24"/>
          <w:shd w:val="clear" w:color="auto" w:fill="FFFFFF"/>
          <w:lang w:val="en-US" w:eastAsia="zh-CN"/>
        </w:rPr>
        <w:t>万元；云杉资本</w:t>
      </w:r>
      <w:r>
        <w:rPr>
          <w:rFonts w:cs="宋体" w:asciiTheme="minorEastAsia" w:hAnsiTheme="minorEastAsia" w:eastAsiaTheme="minorEastAsia"/>
          <w:sz w:val="24"/>
          <w:szCs w:val="24"/>
          <w:shd w:val="clear" w:color="auto" w:fill="FFFFFF"/>
          <w:lang w:val="en-US" w:eastAsia="zh-CN"/>
        </w:rPr>
        <w:t>20%</w:t>
      </w:r>
      <w:r>
        <w:rPr>
          <w:rFonts w:hint="eastAsia" w:cs="宋体" w:asciiTheme="minorEastAsia" w:hAnsiTheme="minorEastAsia" w:eastAsiaTheme="minorEastAsia"/>
          <w:sz w:val="24"/>
          <w:szCs w:val="24"/>
          <w:shd w:val="clear" w:color="auto" w:fill="FFFFFF"/>
          <w:lang w:val="en-US" w:eastAsia="zh-CN"/>
        </w:rPr>
        <w:t>标的股权的转让对价为人民币</w:t>
      </w:r>
      <w:r>
        <w:rPr>
          <w:rFonts w:cs="宋体" w:asciiTheme="minorEastAsia" w:hAnsiTheme="minorEastAsia" w:eastAsiaTheme="minorEastAsia"/>
          <w:sz w:val="24"/>
          <w:szCs w:val="24"/>
          <w:shd w:val="clear" w:color="auto" w:fill="FFFFFF"/>
          <w:lang w:val="en-US" w:eastAsia="zh-CN"/>
        </w:rPr>
        <w:t>6,920</w:t>
      </w:r>
      <w:r>
        <w:rPr>
          <w:rFonts w:hint="eastAsia" w:cs="宋体" w:asciiTheme="minorEastAsia" w:hAnsiTheme="minorEastAsia" w:eastAsiaTheme="minorEastAsia"/>
          <w:sz w:val="24"/>
          <w:szCs w:val="24"/>
          <w:shd w:val="clear" w:color="auto" w:fill="FFFFFF"/>
          <w:lang w:val="en-US" w:eastAsia="zh-CN"/>
        </w:rPr>
        <w:t>万元。</w:t>
      </w:r>
      <w:r>
        <w:rPr>
          <w:rFonts w:cs="宋体" w:asciiTheme="minorEastAsia" w:hAnsiTheme="minorEastAsia" w:eastAsiaTheme="minorEastAsia"/>
          <w:sz w:val="24"/>
          <w:szCs w:val="24"/>
          <w:shd w:val="clear" w:color="auto" w:fill="FFFFFF"/>
          <w:lang w:val="en-US" w:eastAsia="zh-CN"/>
        </w:rPr>
        <w:t>2023</w:t>
      </w:r>
      <w:r>
        <w:rPr>
          <w:rFonts w:hint="eastAsia" w:cs="宋体" w:asciiTheme="minorEastAsia" w:hAnsiTheme="minorEastAsia" w:eastAsiaTheme="minorEastAsia"/>
          <w:sz w:val="24"/>
          <w:szCs w:val="24"/>
          <w:shd w:val="clear" w:color="auto" w:fill="FFFFFF"/>
          <w:lang w:val="en-US" w:eastAsia="zh-CN"/>
        </w:rPr>
        <w:t>年</w:t>
      </w:r>
      <w:r>
        <w:rPr>
          <w:rFonts w:cs="宋体" w:asciiTheme="minorEastAsia" w:hAnsiTheme="minorEastAsia" w:eastAsiaTheme="minorEastAsia"/>
          <w:sz w:val="24"/>
          <w:szCs w:val="24"/>
          <w:shd w:val="clear" w:color="auto" w:fill="FFFFFF"/>
          <w:lang w:val="en-US" w:eastAsia="zh-CN"/>
        </w:rPr>
        <w:t>7</w:t>
      </w:r>
      <w:r>
        <w:rPr>
          <w:rFonts w:hint="eastAsia" w:cs="宋体" w:asciiTheme="minorEastAsia" w:hAnsiTheme="minorEastAsia" w:eastAsiaTheme="minorEastAsia"/>
          <w:sz w:val="24"/>
          <w:szCs w:val="24"/>
          <w:shd w:val="clear" w:color="auto" w:fill="FFFFFF"/>
          <w:lang w:val="en-US" w:eastAsia="zh-CN"/>
        </w:rPr>
        <w:t>月，广州市地方金融监督管理局批复同意办理保理公司股东变更。截至本公告日，宁沪投资公司收到保理公司全部股权转让款人民币</w:t>
      </w:r>
      <w:r>
        <w:rPr>
          <w:rFonts w:cs="宋体" w:asciiTheme="minorEastAsia" w:hAnsiTheme="minorEastAsia" w:eastAsiaTheme="minorEastAsia"/>
          <w:sz w:val="24"/>
          <w:szCs w:val="24"/>
          <w:shd w:val="clear" w:color="auto" w:fill="FFFFFF"/>
          <w:lang w:val="en-US" w:eastAsia="zh-CN"/>
        </w:rPr>
        <w:t>34,600</w:t>
      </w:r>
      <w:r>
        <w:rPr>
          <w:rFonts w:hint="eastAsia" w:cs="宋体" w:asciiTheme="minorEastAsia" w:hAnsiTheme="minorEastAsia" w:eastAsiaTheme="minorEastAsia"/>
          <w:sz w:val="24"/>
          <w:szCs w:val="24"/>
          <w:shd w:val="clear" w:color="auto" w:fill="FFFFFF"/>
          <w:lang w:val="en-US" w:eastAsia="zh-CN"/>
        </w:rPr>
        <w:t>万元，并完成工商变更手续。本次转让完成后，本公司不再持有保理公司的股权，不再将其纳入本公司合并报表范围。</w:t>
      </w:r>
    </w:p>
    <w:p>
      <w:pPr>
        <w:pStyle w:val="8"/>
        <w:spacing w:line="360" w:lineRule="auto"/>
        <w:ind w:firstLine="241" w:firstLineChars="100"/>
        <w:rPr>
          <w:rFonts w:hint="eastAsia" w:asciiTheme="minorEastAsia" w:hAnsiTheme="minorEastAsia" w:eastAsiaTheme="minorEastAsia"/>
          <w:b/>
          <w:bCs/>
          <w:sz w:val="24"/>
          <w:szCs w:val="24"/>
          <w:lang w:val="en-US" w:eastAsia="zh-CN"/>
        </w:rPr>
      </w:pPr>
      <w:r>
        <w:rPr>
          <w:rFonts w:hint="eastAsia" w:asciiTheme="minorEastAsia" w:hAnsiTheme="minorEastAsia" w:eastAsiaTheme="minorEastAsia"/>
          <w:b/>
          <w:bCs/>
          <w:sz w:val="24"/>
          <w:szCs w:val="24"/>
          <w:lang w:val="en-US" w:eastAsia="zh-CN"/>
        </w:rPr>
        <w:t>特此公告。</w:t>
      </w:r>
    </w:p>
    <w:p>
      <w:pPr>
        <w:pStyle w:val="8"/>
        <w:spacing w:line="360" w:lineRule="auto"/>
        <w:ind w:firstLine="241" w:firstLineChars="100"/>
        <w:rPr>
          <w:rFonts w:hint="eastAsia" w:asciiTheme="minorEastAsia" w:hAnsiTheme="minorEastAsia" w:eastAsiaTheme="minorEastAsia"/>
          <w:b/>
          <w:bCs/>
          <w:sz w:val="24"/>
          <w:szCs w:val="24"/>
          <w:lang w:val="en-US" w:eastAsia="zh-CN"/>
        </w:rPr>
      </w:pPr>
    </w:p>
    <w:p>
      <w:pPr>
        <w:widowControl w:val="0"/>
        <w:adjustRightInd w:val="0"/>
        <w:snapToGrid w:val="0"/>
        <w:spacing w:before="0" w:after="0" w:line="360" w:lineRule="auto"/>
        <w:jc w:val="right"/>
        <w:rPr>
          <w:rFonts w:hint="eastAsia" w:ascii="宋体" w:hAnsi="宋体"/>
          <w:b/>
          <w:bCs/>
          <w:color w:val="auto"/>
          <w:kern w:val="2"/>
          <w:sz w:val="24"/>
          <w:szCs w:val="24"/>
          <w:lang w:val="en-US" w:eastAsia="zh-CN"/>
        </w:rPr>
      </w:pPr>
      <w:r>
        <w:rPr>
          <w:rFonts w:hint="eastAsia" w:ascii="宋体" w:hAnsi="宋体"/>
          <w:b/>
          <w:bCs/>
          <w:color w:val="auto"/>
          <w:kern w:val="2"/>
          <w:sz w:val="24"/>
          <w:szCs w:val="24"/>
          <w:lang w:val="en-US" w:eastAsia="zh-CN"/>
        </w:rPr>
        <w:t>江苏宁沪高速公路股份有限公司董事会</w:t>
      </w:r>
    </w:p>
    <w:p>
      <w:pPr>
        <w:widowControl w:val="0"/>
        <w:adjustRightInd w:val="0"/>
        <w:snapToGrid w:val="0"/>
        <w:spacing w:before="0" w:after="0" w:line="360" w:lineRule="auto"/>
        <w:ind w:firstLine="5301" w:firstLineChars="2200"/>
        <w:rPr>
          <w:rFonts w:hint="eastAsia" w:ascii="宋体" w:hAnsi="宋体"/>
          <w:b/>
          <w:bCs/>
          <w:color w:val="auto"/>
          <w:kern w:val="2"/>
          <w:sz w:val="24"/>
          <w:szCs w:val="24"/>
          <w:lang w:val="en-US" w:eastAsia="zh-CN"/>
        </w:rPr>
      </w:pPr>
      <w:r>
        <w:rPr>
          <w:rFonts w:hint="eastAsia" w:ascii="宋体" w:hAnsi="宋体"/>
          <w:b/>
          <w:bCs/>
          <w:color w:val="auto"/>
          <w:kern w:val="2"/>
          <w:sz w:val="24"/>
          <w:szCs w:val="24"/>
          <w:lang w:val="en-US" w:eastAsia="zh-CN"/>
        </w:rPr>
        <w:t>二〇二四年一月二十九日</w:t>
      </w:r>
    </w:p>
    <w:p>
      <w:pPr>
        <w:pStyle w:val="8"/>
        <w:spacing w:line="360" w:lineRule="auto"/>
        <w:rPr>
          <w:lang w:val="en-US" w:eastAsia="zh-CN"/>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 w:name="PMingLiU">
    <w:altName w:val="Microsoft JhengHei UI"/>
    <w:panose1 w:val="02010601000101010101"/>
    <w:charset w:val="88"/>
    <w:family w:val="auto"/>
    <w:pitch w:val="default"/>
    <w:sig w:usb0="00000000" w:usb1="0000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4722361"/>
    </w:sdtPr>
    <w:sdtContent>
      <w:p>
        <w:pPr>
          <w:pStyle w:val="10"/>
          <w:jc w:val="center"/>
        </w:pPr>
        <w:r>
          <w:fldChar w:fldCharType="begin"/>
        </w:r>
        <w:r>
          <w:instrText xml:space="preserve">PAGE   \* MERGEFORMAT</w:instrText>
        </w:r>
        <w:r>
          <w:fldChar w:fldCharType="separate"/>
        </w:r>
        <w:r>
          <w:rPr>
            <w:lang w:val="zh-CN" w:eastAsia="zh-CN"/>
          </w:rPr>
          <w:t>1</w:t>
        </w:r>
        <w:r>
          <w:fldChar w:fldCharType="end"/>
        </w:r>
      </w:p>
    </w:sdtContent>
  </w:sdt>
  <w:p>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3546C0"/>
    <w:multiLevelType w:val="multilevel"/>
    <w:tmpl w:val="113546C0"/>
    <w:lvl w:ilvl="0" w:tentative="0">
      <w:start w:val="1"/>
      <w:numFmt w:val="decimal"/>
      <w:lvlText w:val="(%1)"/>
      <w:lvlJc w:val="left"/>
      <w:pPr>
        <w:ind w:left="1429" w:hanging="720"/>
      </w:pPr>
      <w:rPr>
        <w:rFonts w:hint="default"/>
      </w:rPr>
    </w:lvl>
    <w:lvl w:ilvl="1" w:tentative="0">
      <w:start w:val="1"/>
      <w:numFmt w:val="lowerLetter"/>
      <w:lvlText w:val="%2."/>
      <w:lvlJc w:val="left"/>
      <w:pPr>
        <w:ind w:left="1789" w:hanging="360"/>
      </w:pPr>
    </w:lvl>
    <w:lvl w:ilvl="2" w:tentative="0">
      <w:start w:val="1"/>
      <w:numFmt w:val="lowerRoman"/>
      <w:lvlText w:val="%3."/>
      <w:lvlJc w:val="right"/>
      <w:pPr>
        <w:ind w:left="2509" w:hanging="180"/>
      </w:pPr>
    </w:lvl>
    <w:lvl w:ilvl="3" w:tentative="0">
      <w:start w:val="1"/>
      <w:numFmt w:val="decimal"/>
      <w:lvlText w:val="%4."/>
      <w:lvlJc w:val="left"/>
      <w:pPr>
        <w:ind w:left="3229" w:hanging="360"/>
      </w:pPr>
    </w:lvl>
    <w:lvl w:ilvl="4" w:tentative="0">
      <w:start w:val="1"/>
      <w:numFmt w:val="lowerLetter"/>
      <w:lvlText w:val="%5."/>
      <w:lvlJc w:val="left"/>
      <w:pPr>
        <w:ind w:left="3949" w:hanging="360"/>
      </w:pPr>
    </w:lvl>
    <w:lvl w:ilvl="5" w:tentative="0">
      <w:start w:val="1"/>
      <w:numFmt w:val="lowerRoman"/>
      <w:lvlText w:val="%6."/>
      <w:lvlJc w:val="right"/>
      <w:pPr>
        <w:ind w:left="4669" w:hanging="180"/>
      </w:pPr>
    </w:lvl>
    <w:lvl w:ilvl="6" w:tentative="0">
      <w:start w:val="1"/>
      <w:numFmt w:val="decimal"/>
      <w:lvlText w:val="%7."/>
      <w:lvlJc w:val="left"/>
      <w:pPr>
        <w:ind w:left="5389" w:hanging="360"/>
      </w:pPr>
    </w:lvl>
    <w:lvl w:ilvl="7" w:tentative="0">
      <w:start w:val="1"/>
      <w:numFmt w:val="lowerLetter"/>
      <w:lvlText w:val="%8."/>
      <w:lvlJc w:val="left"/>
      <w:pPr>
        <w:ind w:left="6109" w:hanging="360"/>
      </w:pPr>
    </w:lvl>
    <w:lvl w:ilvl="8" w:tentative="0">
      <w:start w:val="1"/>
      <w:numFmt w:val="lowerRoman"/>
      <w:lvlText w:val="%9."/>
      <w:lvlJc w:val="right"/>
      <w:pPr>
        <w:ind w:left="6829" w:hanging="180"/>
      </w:pPr>
    </w:lvl>
  </w:abstractNum>
  <w:abstractNum w:abstractNumId="1">
    <w:nsid w:val="488D1481"/>
    <w:multiLevelType w:val="multilevel"/>
    <w:tmpl w:val="488D1481"/>
    <w:lvl w:ilvl="0" w:tentative="0">
      <w:start w:val="1"/>
      <w:numFmt w:val="decimal"/>
      <w:lvlText w:val="%1."/>
      <w:lvlJc w:val="left"/>
      <w:pPr>
        <w:ind w:left="720" w:hanging="72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2">
    <w:nsid w:val="5FCD7CF9"/>
    <w:multiLevelType w:val="multilevel"/>
    <w:tmpl w:val="5FCD7CF9"/>
    <w:lvl w:ilvl="0" w:tentative="0">
      <w:start w:val="1"/>
      <w:numFmt w:val="japaneseCounting"/>
      <w:pStyle w:val="2"/>
      <w:lvlText w:val="%1、"/>
      <w:lvlJc w:val="left"/>
      <w:pPr>
        <w:ind w:left="720" w:hanging="720"/>
      </w:pPr>
      <w:rPr>
        <w:rFonts w:hint="default"/>
      </w:rPr>
    </w:lvl>
    <w:lvl w:ilvl="1" w:tentative="0">
      <w:start w:val="1"/>
      <w:numFmt w:val="japaneseCounting"/>
      <w:lvlText w:val="(%2）"/>
      <w:lvlJc w:val="left"/>
      <w:pPr>
        <w:ind w:left="1140" w:hanging="72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144474F"/>
    <w:multiLevelType w:val="multilevel"/>
    <w:tmpl w:val="6144474F"/>
    <w:lvl w:ilvl="0" w:tentative="0">
      <w:start w:val="1"/>
      <w:numFmt w:val="decimal"/>
      <w:lvlText w:val="(%1)"/>
      <w:lvlJc w:val="left"/>
      <w:pPr>
        <w:ind w:left="1440" w:hanging="720"/>
      </w:pPr>
      <w:rPr>
        <w:rFonts w:hint="default" w:eastAsia="PMingLiU"/>
      </w:rPr>
    </w:lvl>
    <w:lvl w:ilvl="1" w:tentative="0">
      <w:start w:val="1"/>
      <w:numFmt w:val="lowerLetter"/>
      <w:lvlText w:val="%2."/>
      <w:lvlJc w:val="left"/>
      <w:pPr>
        <w:ind w:left="1800" w:hanging="360"/>
      </w:pPr>
    </w:lvl>
    <w:lvl w:ilvl="2" w:tentative="0">
      <w:start w:val="1"/>
      <w:numFmt w:val="lowerRoman"/>
      <w:lvlText w:val="%3."/>
      <w:lvlJc w:val="right"/>
      <w:pPr>
        <w:ind w:left="2520" w:hanging="180"/>
      </w:pPr>
    </w:lvl>
    <w:lvl w:ilvl="3" w:tentative="0">
      <w:start w:val="1"/>
      <w:numFmt w:val="decimal"/>
      <w:lvlText w:val="%4."/>
      <w:lvlJc w:val="left"/>
      <w:pPr>
        <w:ind w:left="3240" w:hanging="360"/>
      </w:pPr>
    </w:lvl>
    <w:lvl w:ilvl="4" w:tentative="0">
      <w:start w:val="1"/>
      <w:numFmt w:val="lowerLetter"/>
      <w:lvlText w:val="%5."/>
      <w:lvlJc w:val="left"/>
      <w:pPr>
        <w:ind w:left="3960" w:hanging="360"/>
      </w:pPr>
    </w:lvl>
    <w:lvl w:ilvl="5" w:tentative="0">
      <w:start w:val="1"/>
      <w:numFmt w:val="lowerRoman"/>
      <w:lvlText w:val="%6."/>
      <w:lvlJc w:val="right"/>
      <w:pPr>
        <w:ind w:left="4680" w:hanging="180"/>
      </w:pPr>
    </w:lvl>
    <w:lvl w:ilvl="6" w:tentative="0">
      <w:start w:val="1"/>
      <w:numFmt w:val="decimal"/>
      <w:lvlText w:val="%7."/>
      <w:lvlJc w:val="left"/>
      <w:pPr>
        <w:ind w:left="5400" w:hanging="360"/>
      </w:pPr>
    </w:lvl>
    <w:lvl w:ilvl="7" w:tentative="0">
      <w:start w:val="1"/>
      <w:numFmt w:val="lowerLetter"/>
      <w:lvlText w:val="%8."/>
      <w:lvlJc w:val="left"/>
      <w:pPr>
        <w:ind w:left="6120" w:hanging="360"/>
      </w:pPr>
    </w:lvl>
    <w:lvl w:ilvl="8" w:tentative="0">
      <w:start w:val="1"/>
      <w:numFmt w:val="lowerRoman"/>
      <w:lvlText w:val="%9."/>
      <w:lvlJc w:val="right"/>
      <w:pPr>
        <w:ind w:left="6840" w:hanging="18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noPunctuationKerning w:val="1"/>
  <w:characterSpacingControl w:val="doNotCompress"/>
  <w:footnotePr>
    <w:footnote w:id="0"/>
    <w:footnote w:id="1"/>
  </w:foot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Q3MjRkNGI2NWY0YTUyZTY1OWMyZGMzYTlkNmNiNjMifQ=="/>
  </w:docVars>
  <w:rsids>
    <w:rsidRoot w:val="00172A27"/>
    <w:rsid w:val="0000142F"/>
    <w:rsid w:val="00005228"/>
    <w:rsid w:val="0001205F"/>
    <w:rsid w:val="00014452"/>
    <w:rsid w:val="000256FB"/>
    <w:rsid w:val="00031231"/>
    <w:rsid w:val="000321A6"/>
    <w:rsid w:val="00040F6B"/>
    <w:rsid w:val="00041CC7"/>
    <w:rsid w:val="0004586F"/>
    <w:rsid w:val="00047B58"/>
    <w:rsid w:val="0005162C"/>
    <w:rsid w:val="00051976"/>
    <w:rsid w:val="00060795"/>
    <w:rsid w:val="00061BC9"/>
    <w:rsid w:val="0006753A"/>
    <w:rsid w:val="000764D6"/>
    <w:rsid w:val="0008232A"/>
    <w:rsid w:val="0008534D"/>
    <w:rsid w:val="00086E34"/>
    <w:rsid w:val="00087B34"/>
    <w:rsid w:val="000A2DF7"/>
    <w:rsid w:val="000B258A"/>
    <w:rsid w:val="000B4240"/>
    <w:rsid w:val="000B5920"/>
    <w:rsid w:val="000B75D0"/>
    <w:rsid w:val="000C08F4"/>
    <w:rsid w:val="000C18D0"/>
    <w:rsid w:val="000C43B9"/>
    <w:rsid w:val="000D64FC"/>
    <w:rsid w:val="000D6D5F"/>
    <w:rsid w:val="000E69E8"/>
    <w:rsid w:val="000F507F"/>
    <w:rsid w:val="0010708C"/>
    <w:rsid w:val="001240DF"/>
    <w:rsid w:val="00125B0A"/>
    <w:rsid w:val="00141D5A"/>
    <w:rsid w:val="00142E74"/>
    <w:rsid w:val="00147D97"/>
    <w:rsid w:val="00150841"/>
    <w:rsid w:val="00160926"/>
    <w:rsid w:val="00172A27"/>
    <w:rsid w:val="00180713"/>
    <w:rsid w:val="00180B84"/>
    <w:rsid w:val="00181D5C"/>
    <w:rsid w:val="0018519E"/>
    <w:rsid w:val="0018584B"/>
    <w:rsid w:val="0019127B"/>
    <w:rsid w:val="001958ED"/>
    <w:rsid w:val="00196609"/>
    <w:rsid w:val="001A0232"/>
    <w:rsid w:val="001A2869"/>
    <w:rsid w:val="001A600F"/>
    <w:rsid w:val="001B2BA4"/>
    <w:rsid w:val="001C4445"/>
    <w:rsid w:val="001C5386"/>
    <w:rsid w:val="001C5C81"/>
    <w:rsid w:val="001C6950"/>
    <w:rsid w:val="001D450C"/>
    <w:rsid w:val="001D785A"/>
    <w:rsid w:val="001E1663"/>
    <w:rsid w:val="001E5AEE"/>
    <w:rsid w:val="001F3BA2"/>
    <w:rsid w:val="001F4633"/>
    <w:rsid w:val="001F6D40"/>
    <w:rsid w:val="002101FF"/>
    <w:rsid w:val="00212246"/>
    <w:rsid w:val="00212B97"/>
    <w:rsid w:val="00212FA8"/>
    <w:rsid w:val="00216FF1"/>
    <w:rsid w:val="00224915"/>
    <w:rsid w:val="002308D0"/>
    <w:rsid w:val="00241F62"/>
    <w:rsid w:val="00247251"/>
    <w:rsid w:val="00251F68"/>
    <w:rsid w:val="00256ADE"/>
    <w:rsid w:val="00257A56"/>
    <w:rsid w:val="00260E7D"/>
    <w:rsid w:val="0026141E"/>
    <w:rsid w:val="002627A4"/>
    <w:rsid w:val="00263393"/>
    <w:rsid w:val="00266E3B"/>
    <w:rsid w:val="00275E93"/>
    <w:rsid w:val="002763B6"/>
    <w:rsid w:val="002774DB"/>
    <w:rsid w:val="0028017F"/>
    <w:rsid w:val="00280264"/>
    <w:rsid w:val="00283FC3"/>
    <w:rsid w:val="002864BA"/>
    <w:rsid w:val="002905FA"/>
    <w:rsid w:val="00290D19"/>
    <w:rsid w:val="002A2533"/>
    <w:rsid w:val="002A25A1"/>
    <w:rsid w:val="002A5425"/>
    <w:rsid w:val="002A6CC9"/>
    <w:rsid w:val="002B278D"/>
    <w:rsid w:val="002C04E1"/>
    <w:rsid w:val="002C0DBA"/>
    <w:rsid w:val="002C6D0C"/>
    <w:rsid w:val="002D12D3"/>
    <w:rsid w:val="002D282B"/>
    <w:rsid w:val="002D594E"/>
    <w:rsid w:val="00305E76"/>
    <w:rsid w:val="003069B6"/>
    <w:rsid w:val="00313A7D"/>
    <w:rsid w:val="00315BB3"/>
    <w:rsid w:val="0032350A"/>
    <w:rsid w:val="0033226A"/>
    <w:rsid w:val="00332F84"/>
    <w:rsid w:val="00336663"/>
    <w:rsid w:val="003367B1"/>
    <w:rsid w:val="003371F0"/>
    <w:rsid w:val="0034172D"/>
    <w:rsid w:val="003441D7"/>
    <w:rsid w:val="00345975"/>
    <w:rsid w:val="00346DE7"/>
    <w:rsid w:val="00347D42"/>
    <w:rsid w:val="0035052E"/>
    <w:rsid w:val="00352161"/>
    <w:rsid w:val="00355749"/>
    <w:rsid w:val="003629F2"/>
    <w:rsid w:val="00367AFA"/>
    <w:rsid w:val="0037024B"/>
    <w:rsid w:val="00372250"/>
    <w:rsid w:val="003777A7"/>
    <w:rsid w:val="003861EA"/>
    <w:rsid w:val="00393891"/>
    <w:rsid w:val="003A1151"/>
    <w:rsid w:val="003A37BA"/>
    <w:rsid w:val="003A4713"/>
    <w:rsid w:val="003A597D"/>
    <w:rsid w:val="003B1C9D"/>
    <w:rsid w:val="003C543D"/>
    <w:rsid w:val="003D11D1"/>
    <w:rsid w:val="003D7EBF"/>
    <w:rsid w:val="003E015F"/>
    <w:rsid w:val="003E2195"/>
    <w:rsid w:val="003E2449"/>
    <w:rsid w:val="003E3A98"/>
    <w:rsid w:val="003E4DC6"/>
    <w:rsid w:val="003F2145"/>
    <w:rsid w:val="003F622D"/>
    <w:rsid w:val="00400111"/>
    <w:rsid w:val="00401922"/>
    <w:rsid w:val="00414C60"/>
    <w:rsid w:val="00420B49"/>
    <w:rsid w:val="00442314"/>
    <w:rsid w:val="00442F0F"/>
    <w:rsid w:val="004516BC"/>
    <w:rsid w:val="0045364B"/>
    <w:rsid w:val="00453C0E"/>
    <w:rsid w:val="004552FB"/>
    <w:rsid w:val="0045575C"/>
    <w:rsid w:val="004565B8"/>
    <w:rsid w:val="004611F3"/>
    <w:rsid w:val="004613A6"/>
    <w:rsid w:val="00483AA7"/>
    <w:rsid w:val="00486DE4"/>
    <w:rsid w:val="004A566E"/>
    <w:rsid w:val="004A6522"/>
    <w:rsid w:val="004B27A6"/>
    <w:rsid w:val="004B39EA"/>
    <w:rsid w:val="004B6F96"/>
    <w:rsid w:val="004B6FA4"/>
    <w:rsid w:val="004C2502"/>
    <w:rsid w:val="004C4803"/>
    <w:rsid w:val="004C4890"/>
    <w:rsid w:val="004C6AA0"/>
    <w:rsid w:val="004E1DAF"/>
    <w:rsid w:val="004E25DA"/>
    <w:rsid w:val="004E58E2"/>
    <w:rsid w:val="004F32F8"/>
    <w:rsid w:val="004F69E0"/>
    <w:rsid w:val="004F7135"/>
    <w:rsid w:val="005033CF"/>
    <w:rsid w:val="0050464D"/>
    <w:rsid w:val="00505E53"/>
    <w:rsid w:val="005071B8"/>
    <w:rsid w:val="00517130"/>
    <w:rsid w:val="00520D56"/>
    <w:rsid w:val="00523375"/>
    <w:rsid w:val="00530343"/>
    <w:rsid w:val="00530AF8"/>
    <w:rsid w:val="005357E4"/>
    <w:rsid w:val="005363DF"/>
    <w:rsid w:val="00547B79"/>
    <w:rsid w:val="00552EFB"/>
    <w:rsid w:val="0055454E"/>
    <w:rsid w:val="005604EF"/>
    <w:rsid w:val="00565836"/>
    <w:rsid w:val="00566940"/>
    <w:rsid w:val="0056770C"/>
    <w:rsid w:val="00572162"/>
    <w:rsid w:val="005726D1"/>
    <w:rsid w:val="0057783C"/>
    <w:rsid w:val="005865E6"/>
    <w:rsid w:val="00591F9E"/>
    <w:rsid w:val="00595DBA"/>
    <w:rsid w:val="00596526"/>
    <w:rsid w:val="005B12A1"/>
    <w:rsid w:val="005B1686"/>
    <w:rsid w:val="005C6B28"/>
    <w:rsid w:val="005D1C3E"/>
    <w:rsid w:val="005E0304"/>
    <w:rsid w:val="005E4F44"/>
    <w:rsid w:val="005F0C6C"/>
    <w:rsid w:val="005F6EAB"/>
    <w:rsid w:val="005F708F"/>
    <w:rsid w:val="00605568"/>
    <w:rsid w:val="006254F4"/>
    <w:rsid w:val="00633D46"/>
    <w:rsid w:val="00634FC6"/>
    <w:rsid w:val="00640448"/>
    <w:rsid w:val="006477F8"/>
    <w:rsid w:val="00653CE2"/>
    <w:rsid w:val="00654EEA"/>
    <w:rsid w:val="00656928"/>
    <w:rsid w:val="00657944"/>
    <w:rsid w:val="00660ADB"/>
    <w:rsid w:val="00662882"/>
    <w:rsid w:val="006658A1"/>
    <w:rsid w:val="00666D96"/>
    <w:rsid w:val="006677BA"/>
    <w:rsid w:val="00673EF6"/>
    <w:rsid w:val="0067442E"/>
    <w:rsid w:val="0067481E"/>
    <w:rsid w:val="00676ADD"/>
    <w:rsid w:val="006806F7"/>
    <w:rsid w:val="00680EF4"/>
    <w:rsid w:val="00687843"/>
    <w:rsid w:val="00690536"/>
    <w:rsid w:val="00696724"/>
    <w:rsid w:val="006A7E5C"/>
    <w:rsid w:val="006B2E49"/>
    <w:rsid w:val="006B5F32"/>
    <w:rsid w:val="006C017C"/>
    <w:rsid w:val="006C1D5E"/>
    <w:rsid w:val="006C65E8"/>
    <w:rsid w:val="006D0E3B"/>
    <w:rsid w:val="006D269B"/>
    <w:rsid w:val="006E675B"/>
    <w:rsid w:val="006F0333"/>
    <w:rsid w:val="006F15A9"/>
    <w:rsid w:val="006F2803"/>
    <w:rsid w:val="006F3638"/>
    <w:rsid w:val="00700B9F"/>
    <w:rsid w:val="00717872"/>
    <w:rsid w:val="00722313"/>
    <w:rsid w:val="007451F9"/>
    <w:rsid w:val="00751D31"/>
    <w:rsid w:val="00756B4E"/>
    <w:rsid w:val="00757B7F"/>
    <w:rsid w:val="00757C45"/>
    <w:rsid w:val="00761AC7"/>
    <w:rsid w:val="0076231C"/>
    <w:rsid w:val="0076291C"/>
    <w:rsid w:val="007641F9"/>
    <w:rsid w:val="00774B5E"/>
    <w:rsid w:val="0077747D"/>
    <w:rsid w:val="00781989"/>
    <w:rsid w:val="007824CB"/>
    <w:rsid w:val="007842EA"/>
    <w:rsid w:val="00784B62"/>
    <w:rsid w:val="00787847"/>
    <w:rsid w:val="00791F71"/>
    <w:rsid w:val="007936FE"/>
    <w:rsid w:val="00793F6A"/>
    <w:rsid w:val="00795636"/>
    <w:rsid w:val="00795952"/>
    <w:rsid w:val="007A4A10"/>
    <w:rsid w:val="007B0FBC"/>
    <w:rsid w:val="007B1FC8"/>
    <w:rsid w:val="007B39B3"/>
    <w:rsid w:val="007B60AD"/>
    <w:rsid w:val="007C3471"/>
    <w:rsid w:val="007C6593"/>
    <w:rsid w:val="007D2616"/>
    <w:rsid w:val="007D2D1F"/>
    <w:rsid w:val="007D4579"/>
    <w:rsid w:val="007D6211"/>
    <w:rsid w:val="007E0F9E"/>
    <w:rsid w:val="007E14EB"/>
    <w:rsid w:val="007E49B1"/>
    <w:rsid w:val="007F11FB"/>
    <w:rsid w:val="00815006"/>
    <w:rsid w:val="008210D6"/>
    <w:rsid w:val="00825733"/>
    <w:rsid w:val="00825A76"/>
    <w:rsid w:val="00825C8E"/>
    <w:rsid w:val="0083374B"/>
    <w:rsid w:val="00834E8E"/>
    <w:rsid w:val="00836DB7"/>
    <w:rsid w:val="008415BC"/>
    <w:rsid w:val="0084246A"/>
    <w:rsid w:val="00853047"/>
    <w:rsid w:val="0085601A"/>
    <w:rsid w:val="00881F55"/>
    <w:rsid w:val="00882001"/>
    <w:rsid w:val="008A56AB"/>
    <w:rsid w:val="008B3312"/>
    <w:rsid w:val="008B6088"/>
    <w:rsid w:val="008B6E25"/>
    <w:rsid w:val="008D3E77"/>
    <w:rsid w:val="008D59BF"/>
    <w:rsid w:val="008E2214"/>
    <w:rsid w:val="008E3323"/>
    <w:rsid w:val="008E340B"/>
    <w:rsid w:val="008E49EE"/>
    <w:rsid w:val="008E535D"/>
    <w:rsid w:val="008F2011"/>
    <w:rsid w:val="008F2A9B"/>
    <w:rsid w:val="008F55B2"/>
    <w:rsid w:val="00904701"/>
    <w:rsid w:val="009113E1"/>
    <w:rsid w:val="00911A9B"/>
    <w:rsid w:val="00921362"/>
    <w:rsid w:val="009217B4"/>
    <w:rsid w:val="00923534"/>
    <w:rsid w:val="00924668"/>
    <w:rsid w:val="00931354"/>
    <w:rsid w:val="00932447"/>
    <w:rsid w:val="009331DE"/>
    <w:rsid w:val="00937831"/>
    <w:rsid w:val="00941AAE"/>
    <w:rsid w:val="009432C8"/>
    <w:rsid w:val="00946B81"/>
    <w:rsid w:val="009505C5"/>
    <w:rsid w:val="0095646A"/>
    <w:rsid w:val="00964EA5"/>
    <w:rsid w:val="00974E86"/>
    <w:rsid w:val="00977F19"/>
    <w:rsid w:val="00987168"/>
    <w:rsid w:val="00992344"/>
    <w:rsid w:val="0099457C"/>
    <w:rsid w:val="00994C9B"/>
    <w:rsid w:val="009A112F"/>
    <w:rsid w:val="009A280E"/>
    <w:rsid w:val="009A2C40"/>
    <w:rsid w:val="009B5C08"/>
    <w:rsid w:val="009B6569"/>
    <w:rsid w:val="009B70B7"/>
    <w:rsid w:val="009C0138"/>
    <w:rsid w:val="009C1D58"/>
    <w:rsid w:val="009C2CE8"/>
    <w:rsid w:val="009D53EA"/>
    <w:rsid w:val="009F1198"/>
    <w:rsid w:val="00A0053E"/>
    <w:rsid w:val="00A014DB"/>
    <w:rsid w:val="00A01B4A"/>
    <w:rsid w:val="00A176C4"/>
    <w:rsid w:val="00A25816"/>
    <w:rsid w:val="00A304F2"/>
    <w:rsid w:val="00A32102"/>
    <w:rsid w:val="00A35D08"/>
    <w:rsid w:val="00A43B40"/>
    <w:rsid w:val="00A44C17"/>
    <w:rsid w:val="00A51E49"/>
    <w:rsid w:val="00A54224"/>
    <w:rsid w:val="00A54972"/>
    <w:rsid w:val="00A74245"/>
    <w:rsid w:val="00A83068"/>
    <w:rsid w:val="00A83586"/>
    <w:rsid w:val="00A83F29"/>
    <w:rsid w:val="00A90E23"/>
    <w:rsid w:val="00A93616"/>
    <w:rsid w:val="00A95624"/>
    <w:rsid w:val="00A96C4A"/>
    <w:rsid w:val="00AA1781"/>
    <w:rsid w:val="00AA2163"/>
    <w:rsid w:val="00AA7E36"/>
    <w:rsid w:val="00AB117B"/>
    <w:rsid w:val="00AB28B2"/>
    <w:rsid w:val="00AC1C87"/>
    <w:rsid w:val="00AC41CA"/>
    <w:rsid w:val="00AD1E6F"/>
    <w:rsid w:val="00AD3744"/>
    <w:rsid w:val="00AE5330"/>
    <w:rsid w:val="00AF148B"/>
    <w:rsid w:val="00AF2BBB"/>
    <w:rsid w:val="00AF67D1"/>
    <w:rsid w:val="00B00C08"/>
    <w:rsid w:val="00B02B37"/>
    <w:rsid w:val="00B03BE0"/>
    <w:rsid w:val="00B041F4"/>
    <w:rsid w:val="00B07B55"/>
    <w:rsid w:val="00B11A21"/>
    <w:rsid w:val="00B12093"/>
    <w:rsid w:val="00B16E42"/>
    <w:rsid w:val="00B26D3B"/>
    <w:rsid w:val="00B27989"/>
    <w:rsid w:val="00B31004"/>
    <w:rsid w:val="00B34EB5"/>
    <w:rsid w:val="00B37207"/>
    <w:rsid w:val="00B42645"/>
    <w:rsid w:val="00B47E3F"/>
    <w:rsid w:val="00B50483"/>
    <w:rsid w:val="00B527CD"/>
    <w:rsid w:val="00B5456C"/>
    <w:rsid w:val="00B601BD"/>
    <w:rsid w:val="00B615EF"/>
    <w:rsid w:val="00B625F3"/>
    <w:rsid w:val="00B70ED5"/>
    <w:rsid w:val="00B7332E"/>
    <w:rsid w:val="00B77EBC"/>
    <w:rsid w:val="00B81A44"/>
    <w:rsid w:val="00B84819"/>
    <w:rsid w:val="00B85965"/>
    <w:rsid w:val="00B86A7A"/>
    <w:rsid w:val="00B90868"/>
    <w:rsid w:val="00B959B5"/>
    <w:rsid w:val="00BA0CC9"/>
    <w:rsid w:val="00BA41B2"/>
    <w:rsid w:val="00BA5F04"/>
    <w:rsid w:val="00BA5FF8"/>
    <w:rsid w:val="00BB1E4B"/>
    <w:rsid w:val="00BB390D"/>
    <w:rsid w:val="00BB6CB6"/>
    <w:rsid w:val="00BC01E3"/>
    <w:rsid w:val="00BC0F72"/>
    <w:rsid w:val="00BC6D70"/>
    <w:rsid w:val="00BC6E50"/>
    <w:rsid w:val="00BD0453"/>
    <w:rsid w:val="00BD400A"/>
    <w:rsid w:val="00BE3B24"/>
    <w:rsid w:val="00BE5734"/>
    <w:rsid w:val="00BF0AEC"/>
    <w:rsid w:val="00BF6A7A"/>
    <w:rsid w:val="00C0337B"/>
    <w:rsid w:val="00C03D84"/>
    <w:rsid w:val="00C0588A"/>
    <w:rsid w:val="00C126D7"/>
    <w:rsid w:val="00C2059A"/>
    <w:rsid w:val="00C223BC"/>
    <w:rsid w:val="00C250CD"/>
    <w:rsid w:val="00C31D5D"/>
    <w:rsid w:val="00C348A2"/>
    <w:rsid w:val="00C35759"/>
    <w:rsid w:val="00C36207"/>
    <w:rsid w:val="00C4126F"/>
    <w:rsid w:val="00C45760"/>
    <w:rsid w:val="00C46069"/>
    <w:rsid w:val="00C500FB"/>
    <w:rsid w:val="00C501C5"/>
    <w:rsid w:val="00C54986"/>
    <w:rsid w:val="00C56CC5"/>
    <w:rsid w:val="00C57B01"/>
    <w:rsid w:val="00C57F3E"/>
    <w:rsid w:val="00C60CBE"/>
    <w:rsid w:val="00C64A1C"/>
    <w:rsid w:val="00C67566"/>
    <w:rsid w:val="00C7513A"/>
    <w:rsid w:val="00C83E27"/>
    <w:rsid w:val="00C849BD"/>
    <w:rsid w:val="00C86BDF"/>
    <w:rsid w:val="00C91794"/>
    <w:rsid w:val="00C91CC1"/>
    <w:rsid w:val="00C9287C"/>
    <w:rsid w:val="00C92A28"/>
    <w:rsid w:val="00C92D2F"/>
    <w:rsid w:val="00C95CC2"/>
    <w:rsid w:val="00CA0A3E"/>
    <w:rsid w:val="00CA754E"/>
    <w:rsid w:val="00CB0173"/>
    <w:rsid w:val="00CB4CE0"/>
    <w:rsid w:val="00CC3198"/>
    <w:rsid w:val="00CC3AF4"/>
    <w:rsid w:val="00CC4CF9"/>
    <w:rsid w:val="00CD6EAF"/>
    <w:rsid w:val="00CE1BBE"/>
    <w:rsid w:val="00CE2E77"/>
    <w:rsid w:val="00CF0E56"/>
    <w:rsid w:val="00CF4EDD"/>
    <w:rsid w:val="00CF59E8"/>
    <w:rsid w:val="00D029F7"/>
    <w:rsid w:val="00D04F59"/>
    <w:rsid w:val="00D13831"/>
    <w:rsid w:val="00D22250"/>
    <w:rsid w:val="00D262B6"/>
    <w:rsid w:val="00D26397"/>
    <w:rsid w:val="00D27F48"/>
    <w:rsid w:val="00D308ED"/>
    <w:rsid w:val="00D3170B"/>
    <w:rsid w:val="00D338FC"/>
    <w:rsid w:val="00D508E9"/>
    <w:rsid w:val="00D534A7"/>
    <w:rsid w:val="00D5572E"/>
    <w:rsid w:val="00D564E2"/>
    <w:rsid w:val="00D57954"/>
    <w:rsid w:val="00D624D3"/>
    <w:rsid w:val="00D62ED1"/>
    <w:rsid w:val="00D639E4"/>
    <w:rsid w:val="00D64C91"/>
    <w:rsid w:val="00D71D1F"/>
    <w:rsid w:val="00D7402E"/>
    <w:rsid w:val="00D766A8"/>
    <w:rsid w:val="00D912CB"/>
    <w:rsid w:val="00D95570"/>
    <w:rsid w:val="00D9578F"/>
    <w:rsid w:val="00DC3D39"/>
    <w:rsid w:val="00DC3F08"/>
    <w:rsid w:val="00DC40F8"/>
    <w:rsid w:val="00DC41E6"/>
    <w:rsid w:val="00DD4105"/>
    <w:rsid w:val="00DE3585"/>
    <w:rsid w:val="00DF2709"/>
    <w:rsid w:val="00DF75D2"/>
    <w:rsid w:val="00DF7BF2"/>
    <w:rsid w:val="00E042E1"/>
    <w:rsid w:val="00E11976"/>
    <w:rsid w:val="00E12A87"/>
    <w:rsid w:val="00E20B9D"/>
    <w:rsid w:val="00E30A77"/>
    <w:rsid w:val="00E32963"/>
    <w:rsid w:val="00E3407C"/>
    <w:rsid w:val="00E4215A"/>
    <w:rsid w:val="00E4714F"/>
    <w:rsid w:val="00E47B60"/>
    <w:rsid w:val="00E507B6"/>
    <w:rsid w:val="00E609A0"/>
    <w:rsid w:val="00E60BA6"/>
    <w:rsid w:val="00E72A03"/>
    <w:rsid w:val="00E908C8"/>
    <w:rsid w:val="00E964F7"/>
    <w:rsid w:val="00E9681B"/>
    <w:rsid w:val="00E97872"/>
    <w:rsid w:val="00EA5A2C"/>
    <w:rsid w:val="00EB7A4E"/>
    <w:rsid w:val="00EC054B"/>
    <w:rsid w:val="00EC2153"/>
    <w:rsid w:val="00EC2FB7"/>
    <w:rsid w:val="00EC40D0"/>
    <w:rsid w:val="00ED1859"/>
    <w:rsid w:val="00ED2132"/>
    <w:rsid w:val="00ED3746"/>
    <w:rsid w:val="00EE3A45"/>
    <w:rsid w:val="00EF4F2A"/>
    <w:rsid w:val="00F00C41"/>
    <w:rsid w:val="00F014EB"/>
    <w:rsid w:val="00F0296F"/>
    <w:rsid w:val="00F054AC"/>
    <w:rsid w:val="00F10AEA"/>
    <w:rsid w:val="00F24680"/>
    <w:rsid w:val="00F24B96"/>
    <w:rsid w:val="00F25344"/>
    <w:rsid w:val="00F255B3"/>
    <w:rsid w:val="00F258EB"/>
    <w:rsid w:val="00F3204D"/>
    <w:rsid w:val="00F33721"/>
    <w:rsid w:val="00F33B06"/>
    <w:rsid w:val="00F40CC8"/>
    <w:rsid w:val="00F40F96"/>
    <w:rsid w:val="00F46D1B"/>
    <w:rsid w:val="00F50072"/>
    <w:rsid w:val="00F573B3"/>
    <w:rsid w:val="00F57524"/>
    <w:rsid w:val="00F6210A"/>
    <w:rsid w:val="00F62A4F"/>
    <w:rsid w:val="00F71D90"/>
    <w:rsid w:val="00F72EA6"/>
    <w:rsid w:val="00F765FB"/>
    <w:rsid w:val="00F772C0"/>
    <w:rsid w:val="00F809EE"/>
    <w:rsid w:val="00F8247C"/>
    <w:rsid w:val="00F8463A"/>
    <w:rsid w:val="00F85193"/>
    <w:rsid w:val="00F86BF3"/>
    <w:rsid w:val="00FA56F7"/>
    <w:rsid w:val="00FB17BF"/>
    <w:rsid w:val="00FB34B2"/>
    <w:rsid w:val="00FC2047"/>
    <w:rsid w:val="00FC7761"/>
    <w:rsid w:val="00FE1447"/>
    <w:rsid w:val="00FE1AA8"/>
    <w:rsid w:val="00FE1C11"/>
    <w:rsid w:val="00FE5232"/>
    <w:rsid w:val="00FE7432"/>
    <w:rsid w:val="00FF4F7B"/>
    <w:rsid w:val="01D807EF"/>
    <w:rsid w:val="03C378A3"/>
    <w:rsid w:val="03E5503B"/>
    <w:rsid w:val="044B4BE7"/>
    <w:rsid w:val="045C5616"/>
    <w:rsid w:val="04B073F7"/>
    <w:rsid w:val="053022E6"/>
    <w:rsid w:val="06065952"/>
    <w:rsid w:val="067C6C7C"/>
    <w:rsid w:val="079C700D"/>
    <w:rsid w:val="0950000A"/>
    <w:rsid w:val="096F02A0"/>
    <w:rsid w:val="09B66C11"/>
    <w:rsid w:val="0A93759F"/>
    <w:rsid w:val="0AC04AB2"/>
    <w:rsid w:val="0B043FF8"/>
    <w:rsid w:val="0BD31DCC"/>
    <w:rsid w:val="0C121409"/>
    <w:rsid w:val="0C1A7C26"/>
    <w:rsid w:val="0C9055EC"/>
    <w:rsid w:val="0CEF7ECF"/>
    <w:rsid w:val="0D020A0B"/>
    <w:rsid w:val="0D0C3638"/>
    <w:rsid w:val="0DC95DFA"/>
    <w:rsid w:val="0E82203D"/>
    <w:rsid w:val="0E8D0AA0"/>
    <w:rsid w:val="0F783207"/>
    <w:rsid w:val="0FCF0BA1"/>
    <w:rsid w:val="10CB7366"/>
    <w:rsid w:val="112D1C7D"/>
    <w:rsid w:val="115353AC"/>
    <w:rsid w:val="1261638A"/>
    <w:rsid w:val="12A75AC3"/>
    <w:rsid w:val="13373E3D"/>
    <w:rsid w:val="13AF2F6F"/>
    <w:rsid w:val="14665D24"/>
    <w:rsid w:val="147075E2"/>
    <w:rsid w:val="14F61195"/>
    <w:rsid w:val="156A6D57"/>
    <w:rsid w:val="158069A6"/>
    <w:rsid w:val="16351280"/>
    <w:rsid w:val="168B1A72"/>
    <w:rsid w:val="16E76F5E"/>
    <w:rsid w:val="16F2652B"/>
    <w:rsid w:val="18383533"/>
    <w:rsid w:val="183C4CD8"/>
    <w:rsid w:val="188F5EAC"/>
    <w:rsid w:val="18C774BA"/>
    <w:rsid w:val="18D16E71"/>
    <w:rsid w:val="19193365"/>
    <w:rsid w:val="19EA0124"/>
    <w:rsid w:val="1A7B1DFD"/>
    <w:rsid w:val="1A856A8F"/>
    <w:rsid w:val="1A926C85"/>
    <w:rsid w:val="1B4D19EC"/>
    <w:rsid w:val="1BE21B0B"/>
    <w:rsid w:val="1CA856EA"/>
    <w:rsid w:val="1DD737EE"/>
    <w:rsid w:val="1E3C4007"/>
    <w:rsid w:val="1E8B5577"/>
    <w:rsid w:val="1EAB451D"/>
    <w:rsid w:val="1FC374E6"/>
    <w:rsid w:val="20184F85"/>
    <w:rsid w:val="20304BC9"/>
    <w:rsid w:val="216A599B"/>
    <w:rsid w:val="2181419D"/>
    <w:rsid w:val="21E6671C"/>
    <w:rsid w:val="22143896"/>
    <w:rsid w:val="22693159"/>
    <w:rsid w:val="22FB04DD"/>
    <w:rsid w:val="25BC57A4"/>
    <w:rsid w:val="26E86A6C"/>
    <w:rsid w:val="27196C26"/>
    <w:rsid w:val="274B7E0A"/>
    <w:rsid w:val="274D09F9"/>
    <w:rsid w:val="294A0B52"/>
    <w:rsid w:val="297E2AE5"/>
    <w:rsid w:val="298D6CF2"/>
    <w:rsid w:val="2A541123"/>
    <w:rsid w:val="2A6D3510"/>
    <w:rsid w:val="2A704DAF"/>
    <w:rsid w:val="2A9B706F"/>
    <w:rsid w:val="2ABE66BE"/>
    <w:rsid w:val="2B711B93"/>
    <w:rsid w:val="2B9176D3"/>
    <w:rsid w:val="2C283CE8"/>
    <w:rsid w:val="2CED6C30"/>
    <w:rsid w:val="2D7E7FA9"/>
    <w:rsid w:val="2DD3092A"/>
    <w:rsid w:val="2E444588"/>
    <w:rsid w:val="2EA94D33"/>
    <w:rsid w:val="2ED3590C"/>
    <w:rsid w:val="2FA704BD"/>
    <w:rsid w:val="303D3421"/>
    <w:rsid w:val="30F42C13"/>
    <w:rsid w:val="310B1A9B"/>
    <w:rsid w:val="316533B6"/>
    <w:rsid w:val="32F71915"/>
    <w:rsid w:val="33576B0C"/>
    <w:rsid w:val="33BF6080"/>
    <w:rsid w:val="346A1F14"/>
    <w:rsid w:val="35356692"/>
    <w:rsid w:val="35636439"/>
    <w:rsid w:val="36FD79CA"/>
    <w:rsid w:val="372907BF"/>
    <w:rsid w:val="377A473A"/>
    <w:rsid w:val="39EE1DE6"/>
    <w:rsid w:val="3AE12DB5"/>
    <w:rsid w:val="3B8E745C"/>
    <w:rsid w:val="3C0815AA"/>
    <w:rsid w:val="3CBF5A23"/>
    <w:rsid w:val="3D080DB7"/>
    <w:rsid w:val="3D410748"/>
    <w:rsid w:val="3E1D0952"/>
    <w:rsid w:val="3E6842CD"/>
    <w:rsid w:val="3E6F38A3"/>
    <w:rsid w:val="3E964F64"/>
    <w:rsid w:val="3E9B54C2"/>
    <w:rsid w:val="3F7B4F99"/>
    <w:rsid w:val="40A43B77"/>
    <w:rsid w:val="418574BB"/>
    <w:rsid w:val="41EE08D6"/>
    <w:rsid w:val="423E2F4F"/>
    <w:rsid w:val="43401FB6"/>
    <w:rsid w:val="44A9420C"/>
    <w:rsid w:val="45AD3FAA"/>
    <w:rsid w:val="477E06B3"/>
    <w:rsid w:val="4799729B"/>
    <w:rsid w:val="47D81C6D"/>
    <w:rsid w:val="48B55687"/>
    <w:rsid w:val="48DC2D1D"/>
    <w:rsid w:val="493A4322"/>
    <w:rsid w:val="497726F9"/>
    <w:rsid w:val="4A052247"/>
    <w:rsid w:val="4A776D78"/>
    <w:rsid w:val="4AAE148F"/>
    <w:rsid w:val="4AF81172"/>
    <w:rsid w:val="4B645E12"/>
    <w:rsid w:val="4B6969B6"/>
    <w:rsid w:val="4BF76C86"/>
    <w:rsid w:val="4C190009"/>
    <w:rsid w:val="4C325EEB"/>
    <w:rsid w:val="4C3B586B"/>
    <w:rsid w:val="4C672BF1"/>
    <w:rsid w:val="4CFE0FFB"/>
    <w:rsid w:val="4D313EF3"/>
    <w:rsid w:val="4EDE5EDB"/>
    <w:rsid w:val="4FEC63D6"/>
    <w:rsid w:val="4FFE473E"/>
    <w:rsid w:val="50AF6949"/>
    <w:rsid w:val="50DB0924"/>
    <w:rsid w:val="50DD00FE"/>
    <w:rsid w:val="5189650B"/>
    <w:rsid w:val="52173BDE"/>
    <w:rsid w:val="525B7B04"/>
    <w:rsid w:val="52AA10AF"/>
    <w:rsid w:val="53095B97"/>
    <w:rsid w:val="53CF578C"/>
    <w:rsid w:val="53F8359B"/>
    <w:rsid w:val="540E24C8"/>
    <w:rsid w:val="54121FB6"/>
    <w:rsid w:val="54306AE6"/>
    <w:rsid w:val="54777CC4"/>
    <w:rsid w:val="54BD2C3B"/>
    <w:rsid w:val="54DE4E87"/>
    <w:rsid w:val="55147BA8"/>
    <w:rsid w:val="556963E6"/>
    <w:rsid w:val="561A3C9D"/>
    <w:rsid w:val="566E3FE9"/>
    <w:rsid w:val="571A26A8"/>
    <w:rsid w:val="573E39BB"/>
    <w:rsid w:val="57632B2F"/>
    <w:rsid w:val="5AC22F94"/>
    <w:rsid w:val="5AD4278B"/>
    <w:rsid w:val="5B062A42"/>
    <w:rsid w:val="5C366C9F"/>
    <w:rsid w:val="5CDB19C4"/>
    <w:rsid w:val="5FCD1D80"/>
    <w:rsid w:val="61A04DAD"/>
    <w:rsid w:val="620500A2"/>
    <w:rsid w:val="63A27715"/>
    <w:rsid w:val="647F37C0"/>
    <w:rsid w:val="64DC75B4"/>
    <w:rsid w:val="658A4B8B"/>
    <w:rsid w:val="65EF3D27"/>
    <w:rsid w:val="66313B57"/>
    <w:rsid w:val="669C730B"/>
    <w:rsid w:val="66A97F15"/>
    <w:rsid w:val="677D1976"/>
    <w:rsid w:val="683961C9"/>
    <w:rsid w:val="685512C1"/>
    <w:rsid w:val="685748DD"/>
    <w:rsid w:val="688C0BFD"/>
    <w:rsid w:val="68941F02"/>
    <w:rsid w:val="68DE2B67"/>
    <w:rsid w:val="6AD7131F"/>
    <w:rsid w:val="6BF75BEB"/>
    <w:rsid w:val="6C276CBC"/>
    <w:rsid w:val="6CB247D7"/>
    <w:rsid w:val="6CD02EB0"/>
    <w:rsid w:val="6DB9234E"/>
    <w:rsid w:val="6E385E25"/>
    <w:rsid w:val="6F9401C4"/>
    <w:rsid w:val="6FC30AAA"/>
    <w:rsid w:val="700F68DA"/>
    <w:rsid w:val="70EE0E8C"/>
    <w:rsid w:val="70F84783"/>
    <w:rsid w:val="721E638F"/>
    <w:rsid w:val="736D76AA"/>
    <w:rsid w:val="73BB00CF"/>
    <w:rsid w:val="73D94D40"/>
    <w:rsid w:val="73DC65DE"/>
    <w:rsid w:val="75710A95"/>
    <w:rsid w:val="76522EA0"/>
    <w:rsid w:val="771B741D"/>
    <w:rsid w:val="77E838A9"/>
    <w:rsid w:val="78822D12"/>
    <w:rsid w:val="78B43685"/>
    <w:rsid w:val="78D67AA0"/>
    <w:rsid w:val="7B86675E"/>
    <w:rsid w:val="7B945E88"/>
    <w:rsid w:val="7CCD2F68"/>
    <w:rsid w:val="7D356246"/>
    <w:rsid w:val="7D67447D"/>
    <w:rsid w:val="7E4953C9"/>
    <w:rsid w:val="7E974D76"/>
    <w:rsid w:val="7EC21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jc w:val="both"/>
    </w:pPr>
    <w:rPr>
      <w:rFonts w:ascii="Palatino Linotype" w:hAnsi="Palatino Linotype" w:eastAsia="宋体" w:cs="Times New Roman"/>
      <w:sz w:val="22"/>
      <w:szCs w:val="22"/>
      <w:lang w:val="ru-RU" w:eastAsia="en-US" w:bidi="ar-SA"/>
    </w:rPr>
  </w:style>
  <w:style w:type="paragraph" w:styleId="2">
    <w:name w:val="heading 1"/>
    <w:basedOn w:val="3"/>
    <w:next w:val="1"/>
    <w:link w:val="29"/>
    <w:qFormat/>
    <w:uiPriority w:val="0"/>
    <w:pPr>
      <w:numPr>
        <w:ilvl w:val="0"/>
        <w:numId w:val="1"/>
      </w:numPr>
      <w:adjustRightInd w:val="0"/>
      <w:snapToGrid w:val="0"/>
      <w:spacing w:before="156" w:beforeLines="50" w:after="156" w:afterLines="50" w:line="360" w:lineRule="auto"/>
      <w:ind w:firstLine="0" w:firstLineChars="0"/>
      <w:jc w:val="left"/>
      <w:outlineLvl w:val="0"/>
    </w:pPr>
    <w:rPr>
      <w:rFonts w:ascii="宋体" w:hAnsi="宋体" w:cs="宋体"/>
      <w:b/>
      <w:bCs/>
      <w:sz w:val="24"/>
      <w:szCs w:val="24"/>
      <w:lang w:val="en-US" w:eastAsia="zh-CN"/>
    </w:rPr>
  </w:style>
  <w:style w:type="paragraph" w:styleId="4">
    <w:name w:val="heading 2"/>
    <w:basedOn w:val="3"/>
    <w:next w:val="1"/>
    <w:link w:val="30"/>
    <w:unhideWhenUsed/>
    <w:qFormat/>
    <w:uiPriority w:val="0"/>
    <w:pPr>
      <w:spacing w:line="360" w:lineRule="auto"/>
      <w:ind w:firstLine="480"/>
      <w:outlineLvl w:val="1"/>
    </w:pPr>
    <w:rPr>
      <w:rFonts w:cs="宋体" w:asciiTheme="minorEastAsia" w:hAnsiTheme="minorEastAsia" w:eastAsiaTheme="minorEastAsia"/>
      <w:sz w:val="24"/>
      <w:szCs w:val="24"/>
      <w:lang w:val="en-US" w:eastAsia="zh-CN"/>
    </w:rPr>
  </w:style>
  <w:style w:type="paragraph" w:styleId="5">
    <w:name w:val="heading 3"/>
    <w:basedOn w:val="3"/>
    <w:next w:val="1"/>
    <w:link w:val="33"/>
    <w:unhideWhenUsed/>
    <w:qFormat/>
    <w:uiPriority w:val="0"/>
    <w:pPr>
      <w:spacing w:line="360" w:lineRule="auto"/>
      <w:ind w:firstLine="480"/>
      <w:outlineLvl w:val="2"/>
    </w:pPr>
    <w:rPr>
      <w:rFonts w:cs="宋体" w:asciiTheme="minorEastAsia" w:hAnsiTheme="minorEastAsia" w:eastAsiaTheme="minorEastAsia"/>
      <w:sz w:val="24"/>
      <w:szCs w:val="24"/>
      <w:shd w:val="clear" w:color="auto" w:fill="FFFFFF"/>
      <w:lang w:val="en-US" w:eastAsia="zh-CN"/>
    </w:rPr>
  </w:style>
  <w:style w:type="paragraph" w:styleId="6">
    <w:name w:val="heading 4"/>
    <w:basedOn w:val="1"/>
    <w:next w:val="1"/>
    <w:link w:val="34"/>
    <w:unhideWhenUsed/>
    <w:qFormat/>
    <w:uiPriority w:val="0"/>
    <w:pPr>
      <w:autoSpaceDE w:val="0"/>
      <w:autoSpaceDN w:val="0"/>
      <w:adjustRightInd w:val="0"/>
      <w:spacing w:line="360" w:lineRule="auto"/>
      <w:ind w:firstLine="440" w:firstLineChars="200"/>
      <w:outlineLvl w:val="3"/>
    </w:pPr>
    <w:rPr>
      <w:lang w:eastAsia="zh-CN"/>
    </w:rPr>
  </w:style>
  <w:style w:type="character" w:default="1" w:styleId="17">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List Paragraph"/>
    <w:basedOn w:val="1"/>
    <w:unhideWhenUsed/>
    <w:qFormat/>
    <w:uiPriority w:val="34"/>
    <w:pPr>
      <w:ind w:firstLine="420" w:firstLineChars="200"/>
    </w:pPr>
  </w:style>
  <w:style w:type="paragraph" w:styleId="7">
    <w:name w:val="annotation text"/>
    <w:basedOn w:val="1"/>
    <w:link w:val="26"/>
    <w:qFormat/>
    <w:uiPriority w:val="99"/>
    <w:pPr>
      <w:jc w:val="left"/>
    </w:pPr>
  </w:style>
  <w:style w:type="paragraph" w:styleId="8">
    <w:name w:val="Body Text"/>
    <w:basedOn w:val="1"/>
    <w:link w:val="24"/>
    <w:qFormat/>
    <w:uiPriority w:val="99"/>
    <w:pPr>
      <w:spacing w:before="102"/>
      <w:ind w:left="112"/>
    </w:pPr>
    <w:rPr>
      <w:sz w:val="28"/>
      <w:szCs w:val="28"/>
    </w:rPr>
  </w:style>
  <w:style w:type="paragraph" w:styleId="9">
    <w:name w:val="Balloon Text"/>
    <w:basedOn w:val="1"/>
    <w:link w:val="22"/>
    <w:qFormat/>
    <w:uiPriority w:val="0"/>
    <w:pPr>
      <w:spacing w:before="0" w:after="0"/>
    </w:pPr>
    <w:rPr>
      <w:sz w:val="18"/>
      <w:szCs w:val="18"/>
    </w:rPr>
  </w:style>
  <w:style w:type="paragraph" w:styleId="10">
    <w:name w:val="footer"/>
    <w:basedOn w:val="1"/>
    <w:link w:val="20"/>
    <w:qFormat/>
    <w:uiPriority w:val="99"/>
    <w:pPr>
      <w:tabs>
        <w:tab w:val="center" w:pos="4153"/>
        <w:tab w:val="right" w:pos="8306"/>
      </w:tabs>
      <w:snapToGrid w:val="0"/>
      <w:jc w:val="left"/>
    </w:pPr>
    <w:rPr>
      <w:sz w:val="18"/>
      <w:szCs w:val="18"/>
    </w:rPr>
  </w:style>
  <w:style w:type="paragraph" w:styleId="11">
    <w:name w:val="header"/>
    <w:basedOn w:val="1"/>
    <w:link w:val="19"/>
    <w:qFormat/>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qFormat/>
    <w:uiPriority w:val="0"/>
    <w:pPr>
      <w:spacing w:beforeAutospacing="1" w:afterAutospacing="1"/>
      <w:jc w:val="left"/>
    </w:pPr>
    <w:rPr>
      <w:sz w:val="24"/>
    </w:rPr>
  </w:style>
  <w:style w:type="paragraph" w:styleId="13">
    <w:name w:val="annotation subject"/>
    <w:basedOn w:val="7"/>
    <w:next w:val="7"/>
    <w:link w:val="27"/>
    <w:qFormat/>
    <w:uiPriority w:val="0"/>
    <w:rPr>
      <w:b/>
      <w:bCs/>
    </w:rPr>
  </w:style>
  <w:style w:type="table" w:styleId="15">
    <w:name w:val="Table Grid"/>
    <w:basedOn w:val="14"/>
    <w:qFormat/>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16">
    <w:name w:val="Light Shading Accent 1"/>
    <w:basedOn w:val="14"/>
    <w:qFormat/>
    <w:uiPriority w:val="60"/>
    <w:rPr>
      <w:rFonts w:asciiTheme="minorHAnsi" w:hAnsiTheme="minorHAnsi" w:eastAsiaTheme="minorEastAsia" w:cstheme="minorBidi"/>
      <w:color w:val="2E75B6" w:themeColor="accent1" w:themeShade="BF"/>
      <w:sz w:val="22"/>
      <w:szCs w:val="22"/>
      <w:lang w:eastAsia="en-US"/>
    </w:rPr>
    <w:tblPr>
      <w:tblBorders>
        <w:top w:val="single" w:color="5B9BD5" w:themeColor="accent1" w:sz="8" w:space="0"/>
        <w:bottom w:val="single" w:color="5B9BD5"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character" w:styleId="18">
    <w:name w:val="annotation reference"/>
    <w:basedOn w:val="17"/>
    <w:qFormat/>
    <w:uiPriority w:val="0"/>
    <w:rPr>
      <w:sz w:val="21"/>
      <w:szCs w:val="21"/>
    </w:rPr>
  </w:style>
  <w:style w:type="character" w:customStyle="1" w:styleId="19">
    <w:name w:val="页眉 Char"/>
    <w:basedOn w:val="17"/>
    <w:link w:val="11"/>
    <w:qFormat/>
    <w:uiPriority w:val="0"/>
    <w:rPr>
      <w:rFonts w:ascii="Palatino Linotype" w:hAnsi="Palatino Linotype" w:eastAsia="宋体" w:cs="Times New Roman"/>
      <w:sz w:val="18"/>
      <w:szCs w:val="18"/>
      <w:lang w:val="ru-RU" w:eastAsia="en-US"/>
    </w:rPr>
  </w:style>
  <w:style w:type="character" w:customStyle="1" w:styleId="20">
    <w:name w:val="页脚 Char"/>
    <w:basedOn w:val="17"/>
    <w:link w:val="10"/>
    <w:qFormat/>
    <w:uiPriority w:val="99"/>
    <w:rPr>
      <w:rFonts w:ascii="Palatino Linotype" w:hAnsi="Palatino Linotype" w:eastAsia="宋体" w:cs="Times New Roman"/>
      <w:sz w:val="18"/>
      <w:szCs w:val="18"/>
      <w:lang w:val="ru-RU" w:eastAsia="en-US"/>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批注框文本 Char"/>
    <w:basedOn w:val="17"/>
    <w:link w:val="9"/>
    <w:qFormat/>
    <w:uiPriority w:val="0"/>
    <w:rPr>
      <w:rFonts w:ascii="Palatino Linotype" w:hAnsi="Palatino Linotype" w:eastAsia="宋体" w:cs="Times New Roman"/>
      <w:sz w:val="18"/>
      <w:szCs w:val="18"/>
      <w:lang w:val="ru-RU" w:eastAsia="en-US"/>
    </w:rPr>
  </w:style>
  <w:style w:type="character" w:customStyle="1" w:styleId="23">
    <w:name w:val="font51"/>
    <w:basedOn w:val="17"/>
    <w:qFormat/>
    <w:uiPriority w:val="0"/>
    <w:rPr>
      <w:rFonts w:ascii="宋体" w:hAnsi="宋体" w:eastAsia="宋体" w:cs="宋体"/>
      <w:color w:val="000000"/>
      <w:sz w:val="24"/>
      <w:szCs w:val="24"/>
      <w:u w:val="none"/>
    </w:rPr>
  </w:style>
  <w:style w:type="character" w:customStyle="1" w:styleId="24">
    <w:name w:val="正文文本 Char"/>
    <w:basedOn w:val="17"/>
    <w:link w:val="8"/>
    <w:qFormat/>
    <w:uiPriority w:val="99"/>
    <w:rPr>
      <w:rFonts w:ascii="Palatino Linotype" w:hAnsi="Palatino Linotype"/>
      <w:sz w:val="28"/>
      <w:szCs w:val="28"/>
      <w:lang w:val="ru-RU" w:eastAsia="en-US"/>
    </w:rPr>
  </w:style>
  <w:style w:type="paragraph" w:customStyle="1" w:styleId="25">
    <w:name w:val="修订1"/>
    <w:hidden/>
    <w:semiHidden/>
    <w:qFormat/>
    <w:uiPriority w:val="99"/>
    <w:rPr>
      <w:rFonts w:ascii="Palatino Linotype" w:hAnsi="Palatino Linotype" w:eastAsia="宋体" w:cs="Times New Roman"/>
      <w:sz w:val="22"/>
      <w:szCs w:val="22"/>
      <w:lang w:val="ru-RU" w:eastAsia="en-US" w:bidi="ar-SA"/>
    </w:rPr>
  </w:style>
  <w:style w:type="character" w:customStyle="1" w:styleId="26">
    <w:name w:val="批注文字 Char"/>
    <w:basedOn w:val="17"/>
    <w:link w:val="7"/>
    <w:qFormat/>
    <w:uiPriority w:val="99"/>
    <w:rPr>
      <w:rFonts w:ascii="Palatino Linotype" w:hAnsi="Palatino Linotype"/>
      <w:sz w:val="22"/>
      <w:szCs w:val="22"/>
      <w:lang w:val="ru-RU" w:eastAsia="en-US"/>
    </w:rPr>
  </w:style>
  <w:style w:type="character" w:customStyle="1" w:styleId="27">
    <w:name w:val="批注主题 Char"/>
    <w:basedOn w:val="26"/>
    <w:link w:val="13"/>
    <w:qFormat/>
    <w:uiPriority w:val="0"/>
    <w:rPr>
      <w:rFonts w:ascii="Palatino Linotype" w:hAnsi="Palatino Linotype"/>
      <w:b/>
      <w:bCs/>
      <w:sz w:val="22"/>
      <w:szCs w:val="22"/>
      <w:lang w:val="ru-RU" w:eastAsia="en-US"/>
    </w:rPr>
  </w:style>
  <w:style w:type="paragraph" w:customStyle="1" w:styleId="28">
    <w:name w:val="修订2"/>
    <w:hidden/>
    <w:semiHidden/>
    <w:qFormat/>
    <w:uiPriority w:val="99"/>
    <w:rPr>
      <w:rFonts w:ascii="Palatino Linotype" w:hAnsi="Palatino Linotype" w:eastAsia="宋体" w:cs="Times New Roman"/>
      <w:sz w:val="22"/>
      <w:szCs w:val="22"/>
      <w:lang w:val="ru-RU" w:eastAsia="en-US" w:bidi="ar-SA"/>
    </w:rPr>
  </w:style>
  <w:style w:type="character" w:customStyle="1" w:styleId="29">
    <w:name w:val="标题 1 Char"/>
    <w:basedOn w:val="17"/>
    <w:link w:val="2"/>
    <w:qFormat/>
    <w:uiPriority w:val="0"/>
    <w:rPr>
      <w:rFonts w:ascii="宋体" w:hAnsi="宋体" w:cs="宋体"/>
      <w:b/>
      <w:bCs/>
      <w:sz w:val="24"/>
      <w:szCs w:val="24"/>
    </w:rPr>
  </w:style>
  <w:style w:type="character" w:customStyle="1" w:styleId="30">
    <w:name w:val="标题 2 Char"/>
    <w:basedOn w:val="17"/>
    <w:link w:val="4"/>
    <w:qFormat/>
    <w:uiPriority w:val="0"/>
    <w:rPr>
      <w:rFonts w:cs="宋体" w:asciiTheme="minorEastAsia" w:hAnsiTheme="minorEastAsia" w:eastAsiaTheme="minorEastAsia"/>
      <w:sz w:val="24"/>
      <w:szCs w:val="24"/>
    </w:rPr>
  </w:style>
  <w:style w:type="paragraph" w:customStyle="1" w:styleId="31">
    <w:name w:val="RS Body Text"/>
    <w:basedOn w:val="1"/>
    <w:link w:val="32"/>
    <w:qFormat/>
    <w:uiPriority w:val="0"/>
    <w:pPr>
      <w:spacing w:before="0"/>
      <w:jc w:val="left"/>
    </w:pPr>
    <w:rPr>
      <w:rFonts w:ascii="Times New Roman" w:hAnsi="Times New Roman" w:eastAsia="PMingLiU" w:cstheme="minorBidi"/>
      <w:sz w:val="24"/>
      <w:szCs w:val="24"/>
      <w:lang w:val="en-US"/>
    </w:rPr>
  </w:style>
  <w:style w:type="character" w:customStyle="1" w:styleId="32">
    <w:name w:val="RS Body Text Char"/>
    <w:basedOn w:val="17"/>
    <w:link w:val="31"/>
    <w:qFormat/>
    <w:uiPriority w:val="0"/>
    <w:rPr>
      <w:rFonts w:eastAsia="PMingLiU" w:cstheme="minorBidi"/>
      <w:sz w:val="24"/>
      <w:szCs w:val="24"/>
      <w:lang w:eastAsia="en-US"/>
    </w:rPr>
  </w:style>
  <w:style w:type="character" w:customStyle="1" w:styleId="33">
    <w:name w:val="标题 3 Char"/>
    <w:basedOn w:val="17"/>
    <w:link w:val="5"/>
    <w:qFormat/>
    <w:uiPriority w:val="0"/>
    <w:rPr>
      <w:rFonts w:cs="宋体" w:asciiTheme="minorEastAsia" w:hAnsiTheme="minorEastAsia" w:eastAsiaTheme="minorEastAsia"/>
      <w:sz w:val="24"/>
      <w:szCs w:val="24"/>
    </w:rPr>
  </w:style>
  <w:style w:type="character" w:customStyle="1" w:styleId="34">
    <w:name w:val="标题 4 Char"/>
    <w:basedOn w:val="17"/>
    <w:link w:val="6"/>
    <w:qFormat/>
    <w:uiPriority w:val="0"/>
    <w:rPr>
      <w:rFonts w:ascii="Palatino Linotype" w:hAnsi="Palatino Linotype"/>
      <w:sz w:val="22"/>
      <w:szCs w:val="22"/>
      <w:lang w:val="ru-RU"/>
    </w:rPr>
  </w:style>
  <w:style w:type="paragraph" w:customStyle="1" w:styleId="35">
    <w:name w:val="Decimal Aligned"/>
    <w:basedOn w:val="1"/>
    <w:qFormat/>
    <w:uiPriority w:val="40"/>
    <w:pPr>
      <w:tabs>
        <w:tab w:val="decimal" w:pos="360"/>
      </w:tabs>
      <w:spacing w:before="0" w:after="200" w:line="276" w:lineRule="auto"/>
      <w:jc w:val="left"/>
    </w:pPr>
    <w:rPr>
      <w:rFonts w:asciiTheme="minorHAnsi" w:hAnsiTheme="minorHAnsi" w:eastAsiaTheme="minorEastAsia"/>
      <w:lang w:val="en-US"/>
    </w:rPr>
  </w:style>
  <w:style w:type="character" w:customStyle="1" w:styleId="36">
    <w:name w:val="Subtle Emphasis"/>
    <w:basedOn w:val="17"/>
    <w:qFormat/>
    <w:uiPriority w:val="19"/>
    <w:rPr>
      <w:i/>
      <w:iCs/>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B3D41B-689E-48F2-88AB-7A12FEDEE42D}">
  <ds:schemaRefs/>
</ds:datastoreItem>
</file>

<file path=docProps/app.xml><?xml version="1.0" encoding="utf-8"?>
<Properties xmlns="http://schemas.openxmlformats.org/officeDocument/2006/extended-properties" xmlns:vt="http://schemas.openxmlformats.org/officeDocument/2006/docPropsVTypes">
  <Template>Normal.dotm</Template>
  <Pages>34</Pages>
  <Words>9969</Words>
  <Characters>11166</Characters>
  <Lines>587</Lines>
  <Paragraphs>503</Paragraphs>
  <TotalTime>23</TotalTime>
  <ScaleCrop>false</ScaleCrop>
  <LinksUpToDate>false</LinksUpToDate>
  <CharactersWithSpaces>20632</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2024-01-26T10:47:00Z</dcterms:created>
  <dc:creator>NH-222</dc:creator>
  <cp:lastModifiedBy>Administrator</cp:lastModifiedBy>
  <cp:lastPrinted>1900-12-31T16:00:00Z</cp:lastPrinted>
  <dcterms:modified xsi:type="dcterms:W3CDTF">2024-01-28T06:10:36Z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EB16ADB980A246A2BCCDD4285CFAE9EC_13</vt:lpwstr>
  </property>
</Properties>
</file>