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hint="default"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rPr>
        <w:t>股票简称：宁沪高速          股票代码：600377           编号：临202</w:t>
      </w:r>
      <w:r>
        <w:rPr>
          <w:rFonts w:hint="eastAsia" w:asciiTheme="minorEastAsia" w:hAnsiTheme="minorEastAsia" w:eastAsiaTheme="minorEastAsia" w:cstheme="minorEastAsia"/>
          <w:b/>
          <w:sz w:val="24"/>
          <w:lang w:val="en-US" w:eastAsia="zh-CN"/>
        </w:rPr>
        <w:t>4</w:t>
      </w:r>
      <w:r>
        <w:rPr>
          <w:rFonts w:hint="eastAsia" w:asciiTheme="minorEastAsia" w:hAnsiTheme="minorEastAsia" w:eastAsiaTheme="minorEastAsia" w:cstheme="minorEastAsia"/>
          <w:b/>
          <w:sz w:val="24"/>
        </w:rPr>
        <w:t>-0</w:t>
      </w:r>
      <w:r>
        <w:rPr>
          <w:rFonts w:hint="eastAsia" w:asciiTheme="minorEastAsia" w:hAnsiTheme="minorEastAsia" w:eastAsiaTheme="minorEastAsia" w:cstheme="minorEastAsia"/>
          <w:b/>
          <w:sz w:val="24"/>
          <w:lang w:val="en-US" w:eastAsia="zh-CN"/>
        </w:rPr>
        <w:t>03</w:t>
      </w:r>
    </w:p>
    <w:p>
      <w:pPr>
        <w:adjustRightInd w:val="0"/>
        <w:snapToGrid w:val="0"/>
        <w:spacing w:line="312" w:lineRule="auto"/>
        <w:jc w:val="center"/>
        <w:rPr>
          <w:b/>
          <w:sz w:val="24"/>
        </w:rPr>
      </w:pPr>
    </w:p>
    <w:p>
      <w:pPr>
        <w:adjustRightInd w:val="0"/>
        <w:snapToGrid w:val="0"/>
        <w:spacing w:line="360" w:lineRule="auto"/>
        <w:jc w:val="center"/>
        <w:rPr>
          <w:b/>
          <w:sz w:val="28"/>
          <w:szCs w:val="28"/>
        </w:rPr>
      </w:pPr>
      <w:r>
        <w:rPr>
          <w:b/>
          <w:sz w:val="28"/>
          <w:szCs w:val="28"/>
        </w:rPr>
        <w:t>江苏宁沪高速公路股份有限公司</w:t>
      </w:r>
    </w:p>
    <w:p>
      <w:pPr>
        <w:adjustRightInd w:val="0"/>
        <w:snapToGrid w:val="0"/>
        <w:spacing w:line="360" w:lineRule="auto"/>
        <w:jc w:val="center"/>
        <w:rPr>
          <w:b/>
          <w:bCs/>
          <w:sz w:val="28"/>
          <w:szCs w:val="28"/>
        </w:rPr>
      </w:pPr>
      <w:r>
        <w:rPr>
          <w:b/>
          <w:sz w:val="28"/>
          <w:szCs w:val="28"/>
        </w:rPr>
        <w:t>第十届董事会第</w:t>
      </w:r>
      <w:r>
        <w:rPr>
          <w:rFonts w:hint="eastAsia"/>
          <w:b/>
          <w:sz w:val="28"/>
          <w:szCs w:val="28"/>
        </w:rPr>
        <w:t>二十</w:t>
      </w:r>
      <w:r>
        <w:rPr>
          <w:rFonts w:hint="eastAsia"/>
          <w:b/>
          <w:sz w:val="28"/>
          <w:szCs w:val="28"/>
          <w:lang w:val="en-US" w:eastAsia="zh-CN"/>
        </w:rPr>
        <w:t>四</w:t>
      </w:r>
      <w:r>
        <w:rPr>
          <w:b/>
          <w:sz w:val="28"/>
          <w:szCs w:val="28"/>
        </w:rPr>
        <w:t>次会议决议</w:t>
      </w:r>
      <w:r>
        <w:rPr>
          <w:b/>
          <w:bCs/>
          <w:sz w:val="28"/>
          <w:szCs w:val="28"/>
        </w:rPr>
        <w:t>公告</w:t>
      </w:r>
    </w:p>
    <w:p>
      <w:pPr>
        <w:pStyle w:val="22"/>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pPr>
        <w:pStyle w:val="22"/>
        <w:snapToGrid w:val="0"/>
        <w:spacing w:line="360" w:lineRule="auto"/>
      </w:pPr>
    </w:p>
    <w:p>
      <w:pPr>
        <w:pStyle w:val="22"/>
        <w:snapToGrid w:val="0"/>
        <w:spacing w:line="360" w:lineRule="auto"/>
      </w:pPr>
    </w:p>
    <w:p>
      <w:pPr>
        <w:autoSpaceDE w:val="0"/>
        <w:autoSpaceDN w:val="0"/>
        <w:adjustRightInd w:val="0"/>
        <w:spacing w:line="360" w:lineRule="auto"/>
        <w:ind w:firstLine="482" w:firstLineChars="200"/>
        <w:jc w:val="left"/>
        <w:rPr>
          <w:rFonts w:asciiTheme="minorEastAsia" w:hAnsiTheme="minorEastAsia" w:eastAsiaTheme="minorEastAsia"/>
          <w:b/>
          <w:sz w:val="24"/>
        </w:rPr>
      </w:pPr>
      <w:r>
        <w:rPr>
          <w:rFonts w:asciiTheme="minorEastAsia" w:hAnsiTheme="minorEastAsia" w:eastAsiaTheme="minorEastAsia"/>
          <w:b/>
          <w:sz w:val="24"/>
        </w:rPr>
        <w:t xml:space="preserve">一、会议召开情况 </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（一）江苏宁沪高速公路股份有限公司（以下简称“本公司”）第十届董事会第二十</w:t>
      </w:r>
      <w:r>
        <w:rPr>
          <w:rFonts w:hint="eastAsia" w:cs="宋体" w:asciiTheme="minorEastAsia" w:hAnsiTheme="minorEastAsia" w:eastAsiaTheme="minorEastAsia"/>
          <w:sz w:val="24"/>
          <w:lang w:val="en-US" w:eastAsia="zh-CN"/>
        </w:rPr>
        <w:t>四</w:t>
      </w:r>
      <w:r>
        <w:rPr>
          <w:rFonts w:hint="eastAsia" w:cs="宋体" w:asciiTheme="minorEastAsia" w:hAnsiTheme="minorEastAsia" w:eastAsiaTheme="minorEastAsia"/>
          <w:sz w:val="24"/>
        </w:rPr>
        <w:t>次会议（以下简称“会议”）于202</w:t>
      </w:r>
      <w:r>
        <w:rPr>
          <w:rFonts w:hint="eastAsia" w:cs="宋体" w:asciiTheme="minorEastAsia" w:hAnsiTheme="minorEastAsia" w:eastAsiaTheme="minorEastAsia"/>
          <w:sz w:val="24"/>
          <w:lang w:val="en-US" w:eastAsia="zh-CN"/>
        </w:rPr>
        <w:t>4</w:t>
      </w:r>
      <w:r>
        <w:rPr>
          <w:rFonts w:hint="eastAsia" w:cs="宋体" w:asciiTheme="minorEastAsia" w:hAnsiTheme="minorEastAsia" w:eastAsiaTheme="minorEastAsia"/>
          <w:sz w:val="24"/>
        </w:rPr>
        <w:t>年1月26日以现场会议及视频会议相结合的方式召开。</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（二）会议通知以邮件或专人送达的方式向董事会全体成员发出。</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（三）会议应出席董事13人，实际出席董事13人。</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（四）会议的召开符合《公司法》及本公司《章程》的有关规定，会议决议为有效决议。</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（五）会议由董事长陈云江先生主持。</w:t>
      </w:r>
    </w:p>
    <w:p>
      <w:pPr>
        <w:pStyle w:val="27"/>
        <w:autoSpaceDE w:val="0"/>
        <w:autoSpaceDN w:val="0"/>
        <w:adjustRightInd w:val="0"/>
        <w:spacing w:line="360" w:lineRule="auto"/>
        <w:ind w:firstLine="480"/>
        <w:jc w:val="left"/>
        <w:rPr>
          <w:rFonts w:cs="宋体" w:asciiTheme="minorEastAsia" w:hAnsiTheme="minorEastAsia" w:eastAsiaTheme="minorEastAsia"/>
          <w:sz w:val="24"/>
        </w:rPr>
      </w:pPr>
    </w:p>
    <w:p>
      <w:pPr>
        <w:pStyle w:val="27"/>
        <w:autoSpaceDE w:val="0"/>
        <w:autoSpaceDN w:val="0"/>
        <w:adjustRightInd w:val="0"/>
        <w:spacing w:line="360" w:lineRule="auto"/>
        <w:ind w:firstLine="482"/>
        <w:jc w:val="left"/>
        <w:rPr>
          <w:rFonts w:cs="宋体" w:asciiTheme="minorEastAsia" w:hAnsiTheme="minorEastAsia" w:eastAsiaTheme="minorEastAsia"/>
          <w:b/>
          <w:sz w:val="24"/>
        </w:rPr>
      </w:pPr>
      <w:r>
        <w:rPr>
          <w:rFonts w:hint="eastAsia" w:cs="宋体" w:asciiTheme="minorEastAsia" w:hAnsiTheme="minorEastAsia" w:eastAsiaTheme="minorEastAsia"/>
          <w:b/>
          <w:sz w:val="24"/>
        </w:rPr>
        <w:t>二、会议审议情况</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本次会议审议并通过如下议案：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（一）审议并批准《关于本公司收购江苏苏锡常南部高速公路有限公司（以下简称“苏锡常南部高速公司”）65%股权的议案》。</w:t>
      </w:r>
    </w:p>
    <w:p>
      <w:pPr>
        <w:spacing w:line="36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rPr>
        <w:t>1.同意本公司以现金支付的方式购买江苏交通控股有限公司</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以下简称“</w:t>
      </w:r>
      <w:r>
        <w:rPr>
          <w:rFonts w:hint="eastAsia" w:cs="宋体" w:asciiTheme="minorEastAsia" w:hAnsiTheme="minorEastAsia" w:eastAsiaTheme="minorEastAsia"/>
          <w:sz w:val="24"/>
        </w:rPr>
        <w:t>江苏交控</w:t>
      </w:r>
      <w:r>
        <w:rPr>
          <w:rFonts w:hint="eastAsia" w:cs="宋体" w:asciiTheme="minorEastAsia" w:hAnsiTheme="minorEastAsia" w:eastAsiaTheme="minorEastAsia"/>
          <w:sz w:val="24"/>
          <w:lang w:val="en-US" w:eastAsia="zh-CN"/>
        </w:rPr>
        <w:t>”</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直接持有的苏锡常南部高速公司65%股权。根据江苏交控、无锡市交通产业集团有限公司(以下简称“无锡交通”)、常州高速公路投资发展有限公司共同委托的资产评估机构北京华亚正信资产评估有限公司出具的评估报告（华亚正信评报字[2024]第B12-0007号），本次交易采用收益法评估，评估基准日（2023年10月31日）江苏交控持有的苏锡常南部高速公司65%股权的市场价值为</w:t>
      </w:r>
      <w:r>
        <w:rPr>
          <w:rFonts w:hint="eastAsia" w:cs="宋体" w:asciiTheme="minorEastAsia" w:hAnsiTheme="minorEastAsia" w:eastAsiaTheme="minorEastAsia"/>
          <w:sz w:val="24"/>
          <w:lang w:val="en-US" w:eastAsia="zh-CN"/>
        </w:rPr>
        <w:t>人民币</w:t>
      </w:r>
      <w:r>
        <w:rPr>
          <w:rFonts w:hint="eastAsia" w:cs="宋体" w:asciiTheme="minorEastAsia" w:hAnsiTheme="minorEastAsia" w:eastAsiaTheme="minorEastAsia"/>
          <w:sz w:val="24"/>
        </w:rPr>
        <w:t>520,065.00万元，以此作为本次交易价格（最终以国有资产管理部门备案为准）。</w:t>
      </w:r>
      <w:r>
        <w:rPr>
          <w:rFonts w:hint="eastAsia" w:cs="宋体" w:asciiTheme="minorEastAsia" w:hAnsiTheme="minorEastAsia" w:eastAsiaTheme="minorEastAsia"/>
          <w:sz w:val="24"/>
          <w:szCs w:val="24"/>
        </w:rPr>
        <w:t>授权</w:t>
      </w:r>
      <w:r>
        <w:rPr>
          <w:rFonts w:hint="eastAsia" w:cs="宋体" w:asciiTheme="minorEastAsia" w:hAnsiTheme="minorEastAsia" w:eastAsiaTheme="minorEastAsia"/>
          <w:sz w:val="24"/>
          <w:szCs w:val="24"/>
          <w:lang w:val="en-US" w:eastAsia="zh-CN"/>
        </w:rPr>
        <w:t>董事</w:t>
      </w:r>
      <w:r>
        <w:rPr>
          <w:rFonts w:hint="eastAsia" w:cs="宋体" w:asciiTheme="minorEastAsia" w:hAnsiTheme="minorEastAsia" w:eastAsiaTheme="minorEastAsia"/>
          <w:sz w:val="24"/>
          <w:szCs w:val="24"/>
        </w:rPr>
        <w:t>签署附生效条件的股权转让协议；提请股东大会审议批准本次交易，并授权董事会及董事会授权人士处理协议履行（包括但不限于资金拨付、审批）等后续相关事宜；批准关联/关连交易公告内容并授权董事会秘书陈晋佳女士、公司秘书姚永嘉先生在协议签订后予以签发公告、发布通函。</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w:t>
      </w:r>
      <w:r>
        <w:rPr>
          <w:rFonts w:hint="eastAsia" w:cs="宋体" w:asciiTheme="minorEastAsia" w:hAnsiTheme="minorEastAsia" w:eastAsiaTheme="minorEastAsia"/>
          <w:b/>
          <w:sz w:val="24"/>
          <w:lang w:val="en-US" w:eastAsia="zh-CN"/>
        </w:rPr>
        <w:t>1</w:t>
      </w:r>
      <w:r>
        <w:rPr>
          <w:rFonts w:cs="宋体" w:asciiTheme="minorEastAsia" w:hAnsiTheme="minorEastAsia" w:eastAsiaTheme="minorEastAsia"/>
          <w:b/>
          <w:sz w:val="24"/>
        </w:rPr>
        <w:t>票；反对0票；弃权0票。</w:t>
      </w:r>
    </w:p>
    <w:p>
      <w:pPr>
        <w:spacing w:line="360" w:lineRule="auto"/>
        <w:ind w:firstLine="482" w:firstLineChars="200"/>
        <w:jc w:val="left"/>
        <w:rPr>
          <w:rFonts w:hint="eastAsia"/>
        </w:rPr>
      </w:pPr>
      <w:r>
        <w:rPr>
          <w:rFonts w:hint="eastAsia" w:cs="宋体" w:asciiTheme="minorEastAsia" w:hAnsiTheme="minorEastAsia" w:eastAsiaTheme="minorEastAsia"/>
          <w:b/>
          <w:sz w:val="24"/>
        </w:rPr>
        <w:t>此议案获得通过。</w:t>
      </w:r>
    </w:p>
    <w:p>
      <w:pPr>
        <w:pStyle w:val="2"/>
        <w:spacing w:line="360" w:lineRule="auto"/>
        <w:ind w:firstLine="480" w:firstLineChars="200"/>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2.同意本公司与持有苏锡常南部高速公司22.82%股权的无锡交通签署股权转让意向书。</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w:t>
      </w:r>
      <w:r>
        <w:rPr>
          <w:rFonts w:hint="eastAsia" w:cs="宋体" w:asciiTheme="minorEastAsia" w:hAnsiTheme="minorEastAsia" w:eastAsiaTheme="minorEastAsia"/>
          <w:b/>
          <w:sz w:val="24"/>
          <w:lang w:val="en-US" w:eastAsia="zh-CN"/>
        </w:rPr>
        <w:t>1</w:t>
      </w:r>
      <w:r>
        <w:rPr>
          <w:rFonts w:cs="宋体" w:asciiTheme="minorEastAsia" w:hAnsiTheme="minorEastAsia" w:eastAsiaTheme="minorEastAsia"/>
          <w:b/>
          <w:sz w:val="24"/>
        </w:rPr>
        <w:t>票；反对0票；弃权0票。</w:t>
      </w:r>
    </w:p>
    <w:p>
      <w:pPr>
        <w:spacing w:line="360" w:lineRule="auto"/>
        <w:ind w:firstLine="482" w:firstLineChars="200"/>
        <w:jc w:val="left"/>
      </w:pPr>
      <w:r>
        <w:rPr>
          <w:rFonts w:hint="eastAsia" w:cs="宋体" w:asciiTheme="minorEastAsia" w:hAnsiTheme="minorEastAsia" w:eastAsiaTheme="minorEastAsia"/>
          <w:b/>
          <w:sz w:val="24"/>
        </w:rPr>
        <w:t>此议案获得通过。</w:t>
      </w:r>
    </w:p>
    <w:p>
      <w:pPr>
        <w:pStyle w:val="2"/>
        <w:spacing w:line="360" w:lineRule="auto"/>
        <w:ind w:firstLine="480" w:firstLineChars="200"/>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lang w:val="en-US" w:eastAsia="zh-CN"/>
        </w:rPr>
        <w:t>3.</w:t>
      </w:r>
      <w:r>
        <w:rPr>
          <w:rFonts w:hint="eastAsia" w:cs="宋体" w:asciiTheme="minorEastAsia" w:hAnsiTheme="minorEastAsia" w:eastAsiaTheme="minorEastAsia"/>
          <w:sz w:val="24"/>
          <w:szCs w:val="24"/>
        </w:rPr>
        <w:t>同意本公司完成股权交割后苏锡常南部高速公司作为本公司子公司与本公司关联/关</w:t>
      </w:r>
      <w:r>
        <w:rPr>
          <w:rFonts w:hint="eastAsia" w:cs="宋体" w:asciiTheme="minorEastAsia" w:hAnsiTheme="minorEastAsia" w:eastAsiaTheme="minorEastAsia"/>
          <w:sz w:val="24"/>
          <w:szCs w:val="24"/>
          <w:lang w:val="en-US" w:eastAsia="zh-CN"/>
        </w:rPr>
        <w:t>连</w:t>
      </w:r>
      <w:r>
        <w:rPr>
          <w:rFonts w:hint="eastAsia" w:cs="宋体" w:asciiTheme="minorEastAsia" w:hAnsiTheme="minorEastAsia" w:eastAsiaTheme="minorEastAsia"/>
          <w:sz w:val="24"/>
          <w:szCs w:val="24"/>
        </w:rPr>
        <w:t>方之间的日常关联/持续关连交易。</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w:t>
      </w:r>
      <w:r>
        <w:rPr>
          <w:rFonts w:hint="eastAsia" w:cs="宋体" w:asciiTheme="minorEastAsia" w:hAnsiTheme="minorEastAsia" w:eastAsiaTheme="minorEastAsia"/>
          <w:b/>
          <w:sz w:val="24"/>
          <w:lang w:val="en-US" w:eastAsia="zh-CN"/>
        </w:rPr>
        <w:t>1</w:t>
      </w:r>
      <w:r>
        <w:rPr>
          <w:rFonts w:cs="宋体" w:asciiTheme="minorEastAsia" w:hAnsiTheme="minorEastAsia" w:eastAsiaTheme="minorEastAsia"/>
          <w:b/>
          <w:sz w:val="24"/>
        </w:rPr>
        <w:t>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pStyle w:val="5"/>
        <w:spacing w:line="360" w:lineRule="auto"/>
        <w:ind w:firstLine="482"/>
        <w:jc w:val="left"/>
        <w:rPr>
          <w:rFonts w:hint="eastAsia" w:cs="宋体" w:asciiTheme="minorEastAsia" w:hAnsiTheme="minorEastAsia" w:eastAsiaTheme="minorEastAsia"/>
          <w:b/>
          <w:sz w:val="24"/>
        </w:rPr>
      </w:pPr>
      <w:r>
        <w:rPr>
          <w:rFonts w:hint="eastAsia" w:cs="宋体" w:asciiTheme="minorEastAsia" w:hAnsiTheme="minorEastAsia" w:eastAsiaTheme="minorEastAsia"/>
          <w:b/>
          <w:sz w:val="24"/>
        </w:rPr>
        <w:t>所有董事（包括独立非执行董事）认为</w:t>
      </w:r>
      <w:r>
        <w:rPr>
          <w:rFonts w:hint="eastAsia" w:cs="宋体" w:asciiTheme="minorEastAsia" w:hAnsiTheme="minorEastAsia" w:eastAsiaTheme="minorEastAsia"/>
          <w:b/>
          <w:sz w:val="24"/>
          <w:lang w:val="en-US" w:eastAsia="zh-CN"/>
        </w:rPr>
        <w:t>收购苏锡常南部高速公司65%股权的</w:t>
      </w:r>
      <w:r>
        <w:rPr>
          <w:rFonts w:hint="eastAsia" w:cs="宋体" w:asciiTheme="minorEastAsia" w:hAnsiTheme="minorEastAsia" w:eastAsiaTheme="minorEastAsia"/>
          <w:b/>
          <w:sz w:val="24"/>
        </w:rPr>
        <w:t>关联/关连交易事项</w:t>
      </w:r>
      <w:r>
        <w:rPr>
          <w:rFonts w:hint="eastAsia" w:cs="宋体" w:asciiTheme="minorEastAsia" w:hAnsiTheme="minorEastAsia" w:eastAsiaTheme="minorEastAsia"/>
          <w:b/>
          <w:sz w:val="24"/>
          <w:lang w:val="en-US" w:eastAsia="zh-CN"/>
        </w:rPr>
        <w:t>及交割后的日常关联/持续关连交易，</w:t>
      </w:r>
      <w:r>
        <w:rPr>
          <w:rFonts w:hint="eastAsia" w:cs="宋体" w:asciiTheme="minorEastAsia" w:hAnsiTheme="minorEastAsia" w:eastAsiaTheme="minorEastAsia"/>
          <w:b/>
          <w:sz w:val="24"/>
        </w:rPr>
        <w:t>交易条款公平合理，属于一般商业条款，不会损害本公司及非关联/关连股东利益，尤其是中小股东的利益，且符合本公司及其股东的整体利益。</w:t>
      </w:r>
    </w:p>
    <w:p>
      <w:pPr>
        <w:pStyle w:val="5"/>
        <w:spacing w:line="360" w:lineRule="auto"/>
        <w:ind w:firstLine="482"/>
        <w:jc w:val="left"/>
        <w:rPr>
          <w:rFonts w:hint="eastAsia" w:cs="宋体" w:asciiTheme="minorEastAsia" w:hAnsiTheme="minorEastAsia" w:eastAsiaTheme="minorEastAsia"/>
          <w:b/>
          <w:sz w:val="24"/>
        </w:rPr>
      </w:pPr>
      <w:r>
        <w:rPr>
          <w:rFonts w:hint="eastAsia" w:cs="宋体" w:asciiTheme="minorEastAsia" w:hAnsiTheme="minorEastAsia" w:eastAsiaTheme="minorEastAsia"/>
          <w:b/>
          <w:sz w:val="24"/>
        </w:rPr>
        <w:t>关联/关连董事徐海北先生、王颖健先生回避表决，其余各董事均可投票。</w:t>
      </w:r>
    </w:p>
    <w:p>
      <w:pPr>
        <w:pStyle w:val="5"/>
        <w:spacing w:line="360" w:lineRule="auto"/>
        <w:ind w:firstLine="482"/>
        <w:jc w:val="left"/>
        <w:rPr>
          <w:rFonts w:hint="eastAsia" w:cs="宋体" w:asciiTheme="minorEastAsia" w:hAnsiTheme="minorEastAsia" w:eastAsiaTheme="minorEastAsia"/>
          <w:b/>
          <w:sz w:val="24"/>
        </w:rPr>
      </w:pP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（二）审议并批准关于修订本公司《公司章程》等相关制度的议案。</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1.同意</w:t>
      </w:r>
      <w:r>
        <w:rPr>
          <w:rFonts w:hint="eastAsia" w:cs="宋体" w:asciiTheme="minorEastAsia" w:hAnsiTheme="minorEastAsia" w:eastAsiaTheme="minorEastAsia"/>
          <w:sz w:val="24"/>
        </w:rPr>
        <w:t>对《公司章程》第1.2条、第1.8条、第1.10条、第1.12条、第2.2条、第3.1条、第3.5条、第3.11条、第3.12条、第3.13条、第3.14条至第3.17条、第4.1条、第五章标题、第5.1条至第5.7条、第6.1条、第6.2条、第7.2条、第7.6条、第7.7条至第7.13条、第8.3条、第8.5条、第9.2条</w:t>
      </w:r>
      <w:r>
        <w:rPr>
          <w:rFonts w:hint="eastAsia" w:cs="宋体" w:asciiTheme="minorEastAsia" w:hAnsiTheme="minorEastAsia" w:eastAsiaTheme="minorEastAsia"/>
          <w:sz w:val="24"/>
          <w:lang w:val="en-US" w:eastAsia="zh-CN"/>
        </w:rPr>
        <w:t>至第9.6条</w:t>
      </w:r>
      <w:r>
        <w:rPr>
          <w:rFonts w:hint="eastAsia" w:cs="宋体" w:asciiTheme="minorEastAsia" w:hAnsiTheme="minorEastAsia" w:eastAsiaTheme="minorEastAsia"/>
          <w:sz w:val="24"/>
        </w:rPr>
        <w:t>、第10.2条、第10.3条、第10.5条、第10.6条、第10.9条、第10.10条、第10.14条至第10.17条、第10.20条、第10.22条、第10.23条、第10.25条至第10.51条、第11.4条、第11.9条、第12.1条、第12.3条、第12.5条、第12.8条至第12.13条、第12.17条、第12.21条</w:t>
      </w:r>
      <w:r>
        <w:rPr>
          <w:rFonts w:hint="eastAsia" w:cs="宋体" w:asciiTheme="minorEastAsia" w:hAnsiTheme="minorEastAsia" w:eastAsiaTheme="minorEastAsia"/>
          <w:sz w:val="24"/>
          <w:lang w:val="en-US" w:eastAsia="zh-CN"/>
        </w:rPr>
        <w:t>至第12.24条</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在第12.24条后增加3条、</w:t>
      </w:r>
      <w:r>
        <w:rPr>
          <w:rFonts w:hint="eastAsia" w:cs="宋体" w:asciiTheme="minorEastAsia" w:hAnsiTheme="minorEastAsia" w:eastAsiaTheme="minorEastAsia"/>
          <w:sz w:val="24"/>
        </w:rPr>
        <w:t>第13.1条至第13.7条、</w:t>
      </w:r>
      <w:r>
        <w:rPr>
          <w:rFonts w:hint="eastAsia" w:cs="宋体" w:asciiTheme="minorEastAsia" w:hAnsiTheme="minorEastAsia" w:eastAsiaTheme="minorEastAsia"/>
          <w:sz w:val="24"/>
          <w:lang w:val="en-US" w:eastAsia="zh-CN"/>
        </w:rPr>
        <w:t>在第13.7条后增加3条、</w:t>
      </w:r>
      <w:r>
        <w:rPr>
          <w:rFonts w:hint="eastAsia" w:cs="宋体" w:asciiTheme="minorEastAsia" w:hAnsiTheme="minorEastAsia" w:eastAsiaTheme="minorEastAsia"/>
          <w:sz w:val="24"/>
        </w:rPr>
        <w:t>第14.1条、第14.3条、第15.2条、第15.4条、第16.2条、第16.5条至第16.7条、第16.11条、第17.3条、第17.8条至第17.1</w:t>
      </w: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条、第18.2条、第18.5条、第18.6条、第18.10条、第19.6条至第19.8条、第20.1条至第20.4条、第20.6条至第20.8条、第22.1条至第22.6条、第23.1条至第23.6条、第23.8条、第23.9条、第23.11条、第24.2条相关內容作出了修订，在第24.2条后增加2条、</w:t>
      </w:r>
      <w:r>
        <w:rPr>
          <w:rFonts w:hint="eastAsia" w:cs="宋体" w:asciiTheme="minorEastAsia" w:hAnsiTheme="minorEastAsia" w:eastAsiaTheme="minorEastAsia"/>
          <w:sz w:val="24"/>
          <w:lang w:val="en-US" w:eastAsia="zh-CN"/>
        </w:rPr>
        <w:t>第二十五章、</w:t>
      </w:r>
      <w:r>
        <w:rPr>
          <w:rFonts w:hint="eastAsia" w:cs="宋体" w:asciiTheme="minorEastAsia" w:hAnsiTheme="minorEastAsia" w:eastAsiaTheme="minorEastAsia"/>
          <w:sz w:val="24"/>
        </w:rPr>
        <w:t>第二十六章、第二十七章，《公司章程》修订内容详见“关于修订《公司章程》部分条款的公告”</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并</w:t>
      </w:r>
      <w:r>
        <w:rPr>
          <w:rFonts w:hint="eastAsia" w:cs="宋体" w:asciiTheme="minorEastAsia" w:hAnsiTheme="minorEastAsia" w:eastAsiaTheme="minorEastAsia"/>
          <w:sz w:val="24"/>
        </w:rPr>
        <w:t>将此</w:t>
      </w:r>
      <w:r>
        <w:rPr>
          <w:rFonts w:hint="eastAsia" w:cs="宋体" w:asciiTheme="minorEastAsia" w:hAnsiTheme="minorEastAsia" w:eastAsiaTheme="minorEastAsia"/>
          <w:sz w:val="24"/>
          <w:lang w:val="en-US" w:eastAsia="zh-CN"/>
        </w:rPr>
        <w:t>修订</w:t>
      </w:r>
      <w:r>
        <w:rPr>
          <w:rFonts w:hint="eastAsia" w:cs="宋体" w:asciiTheme="minorEastAsia" w:hAnsiTheme="minorEastAsia" w:eastAsiaTheme="minorEastAsia"/>
          <w:sz w:val="24"/>
        </w:rPr>
        <w:t>提交股东大会审议。</w:t>
      </w:r>
    </w:p>
    <w:p>
      <w:pPr>
        <w:spacing w:line="360" w:lineRule="auto"/>
        <w:ind w:firstLine="480" w:firstLineChars="200"/>
        <w:jc w:val="left"/>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val="en-US" w:eastAsia="zh-CN"/>
        </w:rPr>
        <w:t>2.同意</w:t>
      </w:r>
      <w:r>
        <w:rPr>
          <w:rFonts w:hint="eastAsia" w:cs="宋体" w:asciiTheme="minorEastAsia" w:hAnsiTheme="minorEastAsia" w:eastAsiaTheme="minorEastAsia"/>
          <w:sz w:val="24"/>
        </w:rPr>
        <w:t>对公司《独立董事工作细则》第1.1条、第2.1条至第2.5条、第3.1条、第3.2条、第4.1条至第4.7条、</w:t>
      </w:r>
      <w:r>
        <w:rPr>
          <w:rFonts w:hint="eastAsia" w:cs="宋体" w:asciiTheme="minorEastAsia" w:hAnsiTheme="minorEastAsia" w:eastAsiaTheme="minorEastAsia"/>
          <w:sz w:val="24"/>
          <w:lang w:val="en-US" w:eastAsia="zh-CN"/>
        </w:rPr>
        <w:t>在第4.7条后增加2条、</w:t>
      </w:r>
      <w:r>
        <w:rPr>
          <w:rFonts w:hint="eastAsia" w:cs="宋体" w:asciiTheme="minorEastAsia" w:hAnsiTheme="minorEastAsia" w:eastAsiaTheme="minorEastAsia"/>
          <w:sz w:val="24"/>
        </w:rPr>
        <w:t>第5.1条至第5.4条、第6.1条至第6.3条、</w:t>
      </w:r>
      <w:r>
        <w:rPr>
          <w:rFonts w:hint="eastAsia" w:cs="宋体" w:asciiTheme="minorEastAsia" w:hAnsiTheme="minorEastAsia" w:eastAsiaTheme="minorEastAsia"/>
          <w:sz w:val="24"/>
          <w:lang w:val="en-US" w:eastAsia="zh-CN"/>
        </w:rPr>
        <w:t>在第6.3条后增加12条、</w:t>
      </w:r>
      <w:r>
        <w:rPr>
          <w:rFonts w:hint="eastAsia" w:cs="宋体" w:asciiTheme="minorEastAsia" w:hAnsiTheme="minorEastAsia" w:eastAsiaTheme="minorEastAsia"/>
          <w:sz w:val="24"/>
        </w:rPr>
        <w:t>第7条</w:t>
      </w:r>
      <w:r>
        <w:rPr>
          <w:rFonts w:hint="eastAsia" w:cs="宋体" w:asciiTheme="minorEastAsia" w:hAnsiTheme="minorEastAsia" w:eastAsiaTheme="minorEastAsia"/>
          <w:sz w:val="24"/>
          <w:lang w:val="en-US" w:eastAsia="zh-CN"/>
        </w:rPr>
        <w:t>标题</w:t>
      </w:r>
      <w:r>
        <w:rPr>
          <w:rFonts w:hint="eastAsia" w:cs="宋体" w:asciiTheme="minorEastAsia" w:hAnsiTheme="minorEastAsia" w:eastAsiaTheme="minorEastAsia"/>
          <w:sz w:val="24"/>
        </w:rPr>
        <w:t>、第7.1至第7.5条相关</w:t>
      </w:r>
      <w:r>
        <w:rPr>
          <w:rFonts w:hint="eastAsia" w:cs="宋体" w:asciiTheme="minorEastAsia" w:hAnsiTheme="minorEastAsia" w:eastAsiaTheme="minorEastAsia"/>
          <w:sz w:val="24"/>
          <w:lang w:val="en-US" w:eastAsia="zh-CN"/>
        </w:rPr>
        <w:t>内容</w:t>
      </w:r>
      <w:r>
        <w:rPr>
          <w:rFonts w:hint="eastAsia" w:cs="宋体" w:asciiTheme="minorEastAsia" w:hAnsiTheme="minorEastAsia" w:eastAsiaTheme="minorEastAsia"/>
          <w:sz w:val="24"/>
        </w:rPr>
        <w:t>作出修订</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在第7.5条后增加1条</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并</w:t>
      </w:r>
      <w:r>
        <w:rPr>
          <w:rFonts w:hint="eastAsia" w:cs="宋体" w:asciiTheme="minorEastAsia" w:hAnsiTheme="minorEastAsia" w:eastAsiaTheme="minorEastAsia"/>
          <w:sz w:val="24"/>
        </w:rPr>
        <w:t>将此</w:t>
      </w:r>
      <w:r>
        <w:rPr>
          <w:rFonts w:hint="eastAsia" w:cs="宋体" w:asciiTheme="minorEastAsia" w:hAnsiTheme="minorEastAsia" w:eastAsiaTheme="minorEastAsia"/>
          <w:sz w:val="24"/>
          <w:lang w:val="en-US" w:eastAsia="zh-CN"/>
        </w:rPr>
        <w:t>修订</w:t>
      </w:r>
      <w:r>
        <w:rPr>
          <w:rFonts w:hint="eastAsia" w:cs="宋体" w:asciiTheme="minorEastAsia" w:hAnsiTheme="minorEastAsia" w:eastAsiaTheme="minorEastAsia"/>
          <w:sz w:val="24"/>
        </w:rPr>
        <w:t>提交股东大会审议。</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3.同意</w:t>
      </w:r>
      <w:r>
        <w:rPr>
          <w:rFonts w:hint="eastAsia" w:cs="宋体" w:asciiTheme="minorEastAsia" w:hAnsiTheme="minorEastAsia" w:eastAsiaTheme="minorEastAsia"/>
          <w:sz w:val="24"/>
        </w:rPr>
        <w:t>对公司《股东大会议事规则》第4.2.2条、第5.1条相关内容作出修订</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并</w:t>
      </w:r>
      <w:r>
        <w:rPr>
          <w:rFonts w:hint="eastAsia" w:cs="宋体" w:asciiTheme="minorEastAsia" w:hAnsiTheme="minorEastAsia" w:eastAsiaTheme="minorEastAsia"/>
          <w:sz w:val="24"/>
        </w:rPr>
        <w:t>将此</w:t>
      </w:r>
      <w:r>
        <w:rPr>
          <w:rFonts w:hint="eastAsia" w:cs="宋体" w:asciiTheme="minorEastAsia" w:hAnsiTheme="minorEastAsia" w:eastAsiaTheme="minorEastAsia"/>
          <w:sz w:val="24"/>
          <w:lang w:val="en-US" w:eastAsia="zh-CN"/>
        </w:rPr>
        <w:t>修订</w:t>
      </w:r>
      <w:r>
        <w:rPr>
          <w:rFonts w:hint="eastAsia" w:cs="宋体" w:asciiTheme="minorEastAsia" w:hAnsiTheme="minorEastAsia" w:eastAsiaTheme="minorEastAsia"/>
          <w:sz w:val="24"/>
        </w:rPr>
        <w:t>提交股东大会审议。</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4.同意</w:t>
      </w:r>
      <w:r>
        <w:rPr>
          <w:rFonts w:hint="eastAsia" w:cs="宋体" w:asciiTheme="minorEastAsia" w:hAnsiTheme="minorEastAsia" w:eastAsiaTheme="minorEastAsia"/>
          <w:sz w:val="24"/>
        </w:rPr>
        <w:t>对公司《董事会议事规则》第2.1.1条、第2.1.3条、第6.2.2条相关内容作出修订</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并</w:t>
      </w:r>
      <w:r>
        <w:rPr>
          <w:rFonts w:hint="eastAsia" w:cs="宋体" w:asciiTheme="minorEastAsia" w:hAnsiTheme="minorEastAsia" w:eastAsiaTheme="minorEastAsia"/>
          <w:sz w:val="24"/>
        </w:rPr>
        <w:t>将此</w:t>
      </w:r>
      <w:r>
        <w:rPr>
          <w:rFonts w:hint="eastAsia" w:cs="宋体" w:asciiTheme="minorEastAsia" w:hAnsiTheme="minorEastAsia" w:eastAsiaTheme="minorEastAsia"/>
          <w:sz w:val="24"/>
          <w:lang w:val="en-US" w:eastAsia="zh-CN"/>
        </w:rPr>
        <w:t>修订</w:t>
      </w:r>
      <w:r>
        <w:rPr>
          <w:rFonts w:hint="eastAsia" w:cs="宋体" w:asciiTheme="minorEastAsia" w:hAnsiTheme="minorEastAsia" w:eastAsiaTheme="minorEastAsia"/>
          <w:sz w:val="24"/>
        </w:rPr>
        <w:t>提交股东大会审议。</w:t>
      </w:r>
    </w:p>
    <w:p>
      <w:pPr>
        <w:numPr>
          <w:ilvl w:val="-1"/>
          <w:numId w:val="0"/>
        </w:num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5.同意</w:t>
      </w:r>
      <w:r>
        <w:rPr>
          <w:rFonts w:hint="eastAsia" w:cs="宋体" w:asciiTheme="minorEastAsia" w:hAnsiTheme="minorEastAsia" w:eastAsiaTheme="minorEastAsia"/>
          <w:sz w:val="24"/>
        </w:rPr>
        <w:t>对公司《提名委员会工作细则》第2.1条相关内容作出修订。</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6.同意</w:t>
      </w:r>
      <w:r>
        <w:rPr>
          <w:rFonts w:hint="eastAsia" w:cs="宋体" w:asciiTheme="minorEastAsia" w:hAnsiTheme="minorEastAsia" w:eastAsiaTheme="minorEastAsia"/>
          <w:sz w:val="24"/>
        </w:rPr>
        <w:t>对公司《关联交易管理制度》第5.2.1条、第5.2.2条、第5.2.3条相关内容作出修订。</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w:t>
      </w:r>
      <w:r>
        <w:rPr>
          <w:rFonts w:hint="eastAsia" w:cs="宋体" w:asciiTheme="minorEastAsia" w:hAnsiTheme="minorEastAsia" w:eastAsiaTheme="minorEastAsia"/>
          <w:b/>
          <w:sz w:val="24"/>
          <w:lang w:val="en-US" w:eastAsia="zh-CN"/>
        </w:rPr>
        <w:t>3</w:t>
      </w:r>
      <w:r>
        <w:rPr>
          <w:rFonts w:cs="宋体" w:asciiTheme="minorEastAsia" w:hAnsiTheme="minorEastAsia" w:eastAsiaTheme="minorEastAsia"/>
          <w:b/>
          <w:sz w:val="24"/>
        </w:rPr>
        <w:t>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cs="宋体" w:asciiTheme="minorEastAsia" w:hAnsiTheme="minorEastAsia" w:eastAsiaTheme="minorEastAsia"/>
          <w:sz w:val="24"/>
        </w:rPr>
      </w:pP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（三）审议并批准《关于本公司全资子公司江苏云杉清洁能源投资控股有限公司</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以下简称“</w:t>
      </w:r>
      <w:r>
        <w:rPr>
          <w:rFonts w:hint="eastAsia" w:cs="宋体" w:asciiTheme="minorEastAsia" w:hAnsiTheme="minorEastAsia" w:eastAsiaTheme="minorEastAsia"/>
          <w:sz w:val="24"/>
        </w:rPr>
        <w:t>云杉清能公司</w:t>
      </w:r>
      <w:r>
        <w:rPr>
          <w:rFonts w:hint="eastAsia" w:cs="宋体" w:asciiTheme="minorEastAsia" w:hAnsiTheme="minorEastAsia" w:eastAsiaTheme="minorEastAsia"/>
          <w:sz w:val="24"/>
          <w:lang w:val="en-US" w:eastAsia="zh-CN"/>
        </w:rPr>
        <w:t>”</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全资子公司苏交控清洁能源江苏有限公司</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以下简称“</w:t>
      </w:r>
      <w:r>
        <w:rPr>
          <w:rFonts w:hint="eastAsia" w:cs="宋体" w:asciiTheme="minorEastAsia" w:hAnsiTheme="minorEastAsia" w:eastAsiaTheme="minorEastAsia"/>
          <w:sz w:val="24"/>
        </w:rPr>
        <w:t>苏交控清能江苏公司</w:t>
      </w:r>
      <w:r>
        <w:rPr>
          <w:rFonts w:hint="eastAsia" w:cs="宋体" w:asciiTheme="minorEastAsia" w:hAnsiTheme="minorEastAsia" w:eastAsiaTheme="minorEastAsia"/>
          <w:sz w:val="24"/>
          <w:lang w:val="en-US" w:eastAsia="zh-CN"/>
        </w:rPr>
        <w:t>”</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投资建设4个交能融合项目并签订</w:t>
      </w:r>
      <w:r>
        <w:rPr>
          <w:rFonts w:hint="eastAsia" w:cs="宋体" w:asciiTheme="minorEastAsia" w:hAnsiTheme="minorEastAsia" w:eastAsiaTheme="minorEastAsia"/>
          <w:sz w:val="24"/>
          <w:szCs w:val="24"/>
          <w:lang w:val="en-US" w:eastAsia="zh-CN"/>
        </w:rPr>
        <w:t>3个关联/关连</w:t>
      </w:r>
      <w:r>
        <w:rPr>
          <w:rFonts w:hint="eastAsia" w:cs="宋体" w:asciiTheme="minorEastAsia" w:hAnsiTheme="minorEastAsia" w:eastAsiaTheme="minorEastAsia"/>
          <w:sz w:val="24"/>
          <w:szCs w:val="24"/>
        </w:rPr>
        <w:t>交易</w:t>
      </w:r>
      <w:r>
        <w:rPr>
          <w:rFonts w:hint="eastAsia" w:cs="宋体" w:asciiTheme="minorEastAsia" w:hAnsiTheme="minorEastAsia" w:eastAsiaTheme="minorEastAsia"/>
          <w:sz w:val="24"/>
        </w:rPr>
        <w:t>合同的议案》。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同意本公司全资子公司云杉清能公司的全资子公司苏交控清能江苏公司作为实施主体，投资建设本公司荣炳服务区0.94MW分布式光伏项目，并与之签署能源管理协议，期限20年。本项目总投资约人民币470万元，项目资本金比例25%，对应资本金需求人民币117.5万元，全部由本公司向云杉清能公司实缴资本金，再由云杉清能公司向苏交控清能江苏公司实缴资本金提供；项目剩余75%投资款计人民币352.5万元，由本公司</w:t>
      </w:r>
      <w:r>
        <w:rPr>
          <w:rFonts w:hint="eastAsia" w:cs="宋体" w:asciiTheme="minorEastAsia" w:hAnsiTheme="minorEastAsia" w:eastAsiaTheme="minorEastAsia"/>
          <w:sz w:val="24"/>
          <w:lang w:val="en-US" w:eastAsia="zh-CN"/>
        </w:rPr>
        <w:t>以</w:t>
      </w:r>
      <w:r>
        <w:rPr>
          <w:rFonts w:hint="eastAsia" w:cs="宋体" w:asciiTheme="minorEastAsia" w:hAnsiTheme="minorEastAsia" w:eastAsiaTheme="minorEastAsia"/>
          <w:sz w:val="24"/>
        </w:rPr>
        <w:t>划拨直融资金等符合法律规定用途的资金向云杉清能公司及苏交控清能江苏公司提供/亦可采用项目贷款的形式。</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w:t>
      </w:r>
      <w:r>
        <w:rPr>
          <w:rFonts w:hint="eastAsia" w:cs="宋体" w:asciiTheme="minorEastAsia" w:hAnsiTheme="minorEastAsia" w:eastAsiaTheme="minorEastAsia"/>
          <w:b/>
          <w:sz w:val="24"/>
          <w:lang w:val="en-US" w:eastAsia="zh-CN"/>
        </w:rPr>
        <w:t>3</w:t>
      </w:r>
      <w:r>
        <w:rPr>
          <w:rFonts w:cs="宋体" w:asciiTheme="minorEastAsia" w:hAnsiTheme="minorEastAsia" w:eastAsiaTheme="minorEastAsia"/>
          <w:b/>
          <w:sz w:val="24"/>
        </w:rPr>
        <w:t>票；反对0票；弃权0票。</w:t>
      </w:r>
    </w:p>
    <w:p>
      <w:pPr>
        <w:spacing w:line="360" w:lineRule="auto"/>
        <w:ind w:firstLine="482" w:firstLineChars="200"/>
        <w:jc w:val="left"/>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2.同意本公司全资子公司云杉清能公司全资子公司苏交控清能江苏公司作为实施主体，投资建设沿江高速平望服务区1.74MW分布式光伏项目，并与江苏沿江高速公路有限公司(以下简称“沿江公司”）签署《苏交控沿江高速平望服务区1.74MW分布式光伏项目合同能源管理协议》，期限20年。本项目总投资约人民币870万元，项目资本金比例25%，对应资本金需求人民币217.5万元，全部由本公司向云杉清能公司实缴资本金，再由云杉清能公司向苏交控清能江苏公司实缴资本金提供；项目剩余75%投资款计人民币652.5万元，由本公司以划拨直融资金等符合法律规定用途的资金向云杉清能公司及苏交控清能江苏公司提供/亦可采用项目贷款的形式。</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苏交控清能江苏公司以在协议运营期限内优先向沿江公司供应光伏电站项目所发电能，并提供当地电网同时段电价的15%的优惠，替代向沿江公司缴纳场地租金。</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根据北方亚事资产评估事务所（特殊普通合伙）于2024年1月15日出具的评估报告（北方亚事评报字【2024】第01-</w:t>
      </w:r>
      <w:r>
        <w:rPr>
          <w:rFonts w:hint="eastAsia" w:cs="宋体" w:asciiTheme="minorEastAsia" w:hAnsiTheme="minorEastAsia" w:eastAsiaTheme="minorEastAsia"/>
          <w:sz w:val="24"/>
          <w:lang w:val="en-US" w:eastAsia="zh-CN"/>
        </w:rPr>
        <w:t>043</w:t>
      </w:r>
      <w:r>
        <w:rPr>
          <w:rFonts w:hint="eastAsia" w:cs="宋体" w:asciiTheme="minorEastAsia" w:hAnsiTheme="minorEastAsia" w:eastAsiaTheme="minorEastAsia"/>
          <w:sz w:val="24"/>
        </w:rPr>
        <w:t>号），苏交控清能江苏公司拟承租涉及的沿江公司持有的沿江高速公路平望服务区屋顶及停车棚顶年租金为人民币163,413元。协议电价优惠15%不优于苏交控清能江苏公司向一般工商业客户提供的电价优惠，预计服务区每年减免电费不高于人民币155,040元，低于苏交控清能江苏公司若以缴纳租金形式所需支付的租金金额，不存在损害公司及全体股东利益的情形。鉴于本项目为无补贴平价光伏项目，苏交控清能江苏公司只能卖电给沿江公司及/或余电上网(目前上网电价执行江苏省燃煤发电机组标杆上网电价（人民币0.391元/千瓦时）),协议优惠电价比上网电价对本集团有利，双方将每三年重新审查情况确定未来相关三年的年度上限。</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w:t>
      </w:r>
      <w:r>
        <w:rPr>
          <w:rFonts w:hint="eastAsia" w:cs="宋体" w:asciiTheme="minorEastAsia" w:hAnsiTheme="minorEastAsia" w:eastAsiaTheme="minorEastAsia"/>
          <w:b/>
          <w:sz w:val="24"/>
          <w:lang w:val="en-US" w:eastAsia="zh-CN"/>
        </w:rPr>
        <w:t>1</w:t>
      </w:r>
      <w:r>
        <w:rPr>
          <w:rFonts w:cs="宋体" w:asciiTheme="minorEastAsia" w:hAnsiTheme="minorEastAsia" w:eastAsiaTheme="minorEastAsia"/>
          <w:b/>
          <w:sz w:val="24"/>
        </w:rPr>
        <w:t>票；反对0票；弃权0票。</w:t>
      </w:r>
    </w:p>
    <w:p>
      <w:pPr>
        <w:spacing w:line="360" w:lineRule="auto"/>
        <w:ind w:firstLine="482" w:firstLineChars="200"/>
        <w:jc w:val="left"/>
        <w:rPr>
          <w:rFonts w:hint="eastAsia"/>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3.同意本公司全资子公司云杉清能公司全资子公司苏交控清能江苏公司作为实施主体，投资建设郭村服务区0.76MW分布式光伏项目，并与江苏宁靖盐高速公路有限公司(以下简称“宁靖盐公司”）签署《苏交控宁靖盐高速郭村服务区0.76MW分布式光伏项目合同能源管理协议》，期限20年。本项目总投资约人民币380万元，项目资本金比例25%，对应资本金需求人民币95万元，全部由本公司向云杉清能公司实缴资本金，再由云杉清能公司向苏交控清能江苏公司实缴资本金提供；项目剩余75%投资款计285万元，由本公司以划拨直融资金等符合法律规定用途的资金向云杉清能公司及苏交控清能江苏公司提供/亦可采用项目贷款的形式。</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苏交控清能江苏公司以在协议运营期限内优先向宁靖盐公司供应光伏电站项目所发电能，并提供当地电网同时段电价的15%的优惠，替代向宁靖盐公司缴纳场地租金。</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根据北方亚事资产评估事务所（特殊普通合伙）于2024年1月15日出具的评估报告（北方亚事评报字【2024】第01-</w:t>
      </w:r>
      <w:r>
        <w:rPr>
          <w:rFonts w:hint="eastAsia" w:cs="宋体" w:asciiTheme="minorEastAsia" w:hAnsiTheme="minorEastAsia" w:eastAsiaTheme="minorEastAsia"/>
          <w:sz w:val="24"/>
          <w:lang w:val="en-US" w:eastAsia="zh-CN"/>
        </w:rPr>
        <w:t>043</w:t>
      </w:r>
      <w:r>
        <w:rPr>
          <w:rFonts w:hint="eastAsia" w:cs="宋体" w:asciiTheme="minorEastAsia" w:hAnsiTheme="minorEastAsia" w:eastAsiaTheme="minorEastAsia"/>
          <w:sz w:val="24"/>
        </w:rPr>
        <w:t>号），苏交控清能江苏公司拟承租涉及的沿江公司持有的沿江高速公路郭村服务区屋顶及停车棚顶年租金为人民币73,055元。协议电价优惠15%不优于苏交控清能江苏公司向一般工商业客户提供的电价优惠，预计服务区每年减免电费不高于人民币68,544元，低于苏交控清能江苏公司若以缴纳租金形式所需支付的租金金额，不存在损害公司及全体股东利益的情形。鉴于本项目为无补贴平价光伏项目，苏交控清能江苏公司只能卖电给沿江公司及/或余电上网(目前上网电价执行江苏省燃煤发电机组标杆上网电价（人民币0.391元/千瓦时）),协议优惠电价比上网电价对本集团有利，双方将每三年重新审查情况确定未来相关三年的年度上限。</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w:t>
      </w:r>
      <w:r>
        <w:rPr>
          <w:rFonts w:hint="eastAsia" w:cs="宋体" w:asciiTheme="minorEastAsia" w:hAnsiTheme="minorEastAsia" w:eastAsiaTheme="minorEastAsia"/>
          <w:b/>
          <w:sz w:val="24"/>
          <w:lang w:val="en-US" w:eastAsia="zh-CN"/>
        </w:rPr>
        <w:t>1</w:t>
      </w:r>
      <w:r>
        <w:rPr>
          <w:rFonts w:cs="宋体" w:asciiTheme="minorEastAsia" w:hAnsiTheme="minorEastAsia" w:eastAsiaTheme="minorEastAsia"/>
          <w:b/>
          <w:sz w:val="24"/>
        </w:rPr>
        <w:t>票；反对0票；弃权0票。</w:t>
      </w:r>
    </w:p>
    <w:p>
      <w:pPr>
        <w:spacing w:line="360" w:lineRule="auto"/>
        <w:ind w:firstLine="482" w:firstLineChars="200"/>
        <w:jc w:val="left"/>
        <w:rPr>
          <w:rFonts w:hint="eastAsia"/>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4.同意本公司全资子公司云杉清能公司全资子公司苏交控清能江苏公司作为实施主体，投资建设锦丰服务区+沪通大桥管理处4.44MW分布式光伏项目，并与江苏沪通大桥有限责任公司(以下简称“沪通大桥公司”）签署《苏交控扬子江高速锦丰服务区+沪通大桥管理处4.44MW分布式光伏项目合同能源管理协议》，期限20年。本项目总投资约人民币2198万元，项目资本金比例25%，对应资本金需求人民币549.5万元，全部由本公司向云杉清能公司实缴资本金，再由云杉清能公司向苏交控清能江苏公司实缴资本金提供；项目剩余75%投资款计1648.5万元，由本公司以</w:t>
      </w:r>
      <w:bookmarkStart w:id="0" w:name="_GoBack"/>
      <w:bookmarkEnd w:id="0"/>
      <w:r>
        <w:rPr>
          <w:rFonts w:hint="eastAsia" w:cs="宋体" w:asciiTheme="minorEastAsia" w:hAnsiTheme="minorEastAsia" w:eastAsiaTheme="minorEastAsia"/>
          <w:sz w:val="24"/>
        </w:rPr>
        <w:t>划拨直融资金等符合法律规定用途的资金向云杉清能公司及苏交控清能江苏公司提供/亦可采用项目贷款的形式。</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苏交控清能江苏公司以在协议运营期限内优先向沪通大桥公司供应光伏电站项目所发电能，并提供当地电网同时段电价的15%的优惠，替代向沪通大桥公司缴纳场地租金。</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根据北方亚事资产评估事务所（特殊普通合伙）于2024年1月15日出具的评估报告（北方亚事评报字【2024】第01-</w:t>
      </w:r>
      <w:r>
        <w:rPr>
          <w:rFonts w:hint="eastAsia" w:cs="宋体" w:asciiTheme="minorEastAsia" w:hAnsiTheme="minorEastAsia" w:eastAsiaTheme="minorEastAsia"/>
          <w:sz w:val="24"/>
          <w:lang w:val="en-US" w:eastAsia="zh-CN"/>
        </w:rPr>
        <w:t>043</w:t>
      </w:r>
      <w:r>
        <w:rPr>
          <w:rFonts w:hint="eastAsia" w:cs="宋体" w:asciiTheme="minorEastAsia" w:hAnsiTheme="minorEastAsia" w:eastAsiaTheme="minorEastAsia"/>
          <w:sz w:val="24"/>
        </w:rPr>
        <w:t>号），苏交控清能江苏公司拟承租涉及的沪通大桥公司持有的锦丰服务区屋顶及沪通大桥管理处边坡年租金为人民币200,365.2元。协议电价优惠15%不优于苏交控清能江苏公司向一般工商业客户提供的电价优惠，预计服务区每年减免电费不高于人民币187,932元，低于苏交控清能江苏公司若以缴纳租金形式所需支付的租金金额，不存在损害公司及全体股东利益的情形。鉴于本项目为无补贴平价光伏项目，苏交控清能江苏公司只能卖电给沿江公司及/或余电上网(目前上网电价执行江苏省燃煤发电机组标杆上网电价（人民币0.391元/千瓦时）),协议优惠电价比上网电价对本集团有利，双方将每三年重新审查情况确定未来相关三年的年度上限。</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w:t>
      </w:r>
      <w:r>
        <w:rPr>
          <w:rFonts w:hint="eastAsia" w:cs="宋体" w:asciiTheme="minorEastAsia" w:hAnsiTheme="minorEastAsia" w:eastAsiaTheme="minorEastAsia"/>
          <w:b/>
          <w:sz w:val="24"/>
          <w:lang w:val="en-US" w:eastAsia="zh-CN"/>
        </w:rPr>
        <w:t>1</w:t>
      </w:r>
      <w:r>
        <w:rPr>
          <w:rFonts w:cs="宋体" w:asciiTheme="minorEastAsia" w:hAnsiTheme="minorEastAsia" w:eastAsiaTheme="minorEastAsia"/>
          <w:b/>
          <w:sz w:val="24"/>
        </w:rPr>
        <w:t>票；反对0票；弃权0票。</w:t>
      </w:r>
    </w:p>
    <w:p>
      <w:pPr>
        <w:spacing w:line="360" w:lineRule="auto"/>
        <w:ind w:firstLine="482" w:firstLineChars="200"/>
        <w:jc w:val="left"/>
        <w:rPr>
          <w:rFonts w:hint="eastAsia"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2" w:firstLineChars="200"/>
        <w:jc w:val="left"/>
        <w:rPr>
          <w:rFonts w:hint="eastAsia" w:cs="宋体" w:asciiTheme="minorEastAsia" w:hAnsiTheme="minorEastAsia" w:eastAsiaTheme="minorEastAsia"/>
          <w:b/>
          <w:sz w:val="24"/>
          <w:szCs w:val="24"/>
          <w:lang w:val="en-US"/>
        </w:rPr>
      </w:pPr>
      <w:r>
        <w:rPr>
          <w:rFonts w:hint="eastAsia" w:cs="宋体" w:asciiTheme="minorEastAsia" w:hAnsiTheme="minorEastAsia" w:eastAsiaTheme="minorEastAsia"/>
          <w:b/>
          <w:sz w:val="24"/>
          <w:szCs w:val="24"/>
          <w:lang w:val="en-US"/>
        </w:rPr>
        <w:t>所有董事（包括独立非执行董事）认为上述</w:t>
      </w:r>
      <w:r>
        <w:rPr>
          <w:rFonts w:hint="eastAsia" w:cs="宋体" w:asciiTheme="minorEastAsia" w:hAnsiTheme="minorEastAsia" w:eastAsiaTheme="minorEastAsia"/>
          <w:b/>
          <w:sz w:val="24"/>
          <w:szCs w:val="24"/>
          <w:lang w:val="en-US" w:eastAsia="zh-CN"/>
        </w:rPr>
        <w:t>第（三）之2、3及4项</w:t>
      </w:r>
      <w:r>
        <w:rPr>
          <w:rFonts w:hint="eastAsia" w:cs="宋体" w:asciiTheme="minorEastAsia" w:hAnsiTheme="minorEastAsia" w:eastAsiaTheme="minorEastAsia"/>
          <w:b/>
          <w:bCs/>
          <w:sz w:val="24"/>
          <w:szCs w:val="24"/>
          <w:lang w:val="en-US" w:eastAsia="zh-CN"/>
        </w:rPr>
        <w:t>关联/关连</w:t>
      </w:r>
      <w:r>
        <w:rPr>
          <w:rFonts w:hint="eastAsia" w:cs="宋体" w:asciiTheme="minorEastAsia" w:hAnsiTheme="minorEastAsia" w:eastAsiaTheme="minorEastAsia"/>
          <w:b/>
          <w:sz w:val="24"/>
          <w:szCs w:val="24"/>
          <w:lang w:val="en-US"/>
        </w:rPr>
        <w:t>交易事项交易条款公平合理，属一般商业条款，不会损害本公司及非关联</w:t>
      </w:r>
      <w:r>
        <w:rPr>
          <w:rFonts w:hint="eastAsia" w:cs="宋体" w:asciiTheme="minorEastAsia" w:hAnsiTheme="minorEastAsia" w:eastAsiaTheme="minorEastAsia"/>
          <w:b/>
          <w:sz w:val="24"/>
          <w:szCs w:val="24"/>
          <w:lang w:val="en-US" w:eastAsia="zh-CN"/>
        </w:rPr>
        <w:t>/关连</w:t>
      </w:r>
      <w:r>
        <w:rPr>
          <w:rFonts w:hint="eastAsia" w:cs="宋体" w:asciiTheme="minorEastAsia" w:hAnsiTheme="minorEastAsia" w:eastAsiaTheme="minorEastAsia"/>
          <w:b/>
          <w:sz w:val="24"/>
          <w:szCs w:val="24"/>
          <w:lang w:val="en-US"/>
        </w:rPr>
        <w:t>股东利益，尤其是中小股东的利益，且符合本公司及其股东的整体利益。</w:t>
      </w:r>
    </w:p>
    <w:p>
      <w:pPr>
        <w:spacing w:line="360" w:lineRule="auto"/>
        <w:ind w:firstLine="482" w:firstLineChars="200"/>
        <w:jc w:val="left"/>
        <w:rPr>
          <w:rFonts w:hint="eastAsia" w:cs="宋体" w:asciiTheme="minorEastAsia" w:hAnsiTheme="minorEastAsia" w:eastAsiaTheme="minorEastAsia"/>
          <w:b/>
          <w:sz w:val="24"/>
          <w:szCs w:val="24"/>
          <w:lang w:val="en-US"/>
        </w:rPr>
      </w:pPr>
      <w:r>
        <w:rPr>
          <w:rFonts w:hint="eastAsia" w:cs="宋体" w:asciiTheme="minorEastAsia" w:hAnsiTheme="minorEastAsia" w:eastAsiaTheme="minorEastAsia"/>
          <w:b/>
          <w:sz w:val="24"/>
          <w:szCs w:val="24"/>
          <w:lang w:val="en-US"/>
        </w:rPr>
        <w:t>上述日常关联/持续关连交易事项中，关联</w:t>
      </w:r>
      <w:r>
        <w:rPr>
          <w:rFonts w:hint="eastAsia" w:cs="宋体" w:asciiTheme="minorEastAsia" w:hAnsiTheme="minorEastAsia" w:eastAsiaTheme="minorEastAsia"/>
          <w:b/>
          <w:sz w:val="24"/>
          <w:szCs w:val="24"/>
          <w:lang w:val="en-US" w:eastAsia="zh-CN"/>
        </w:rPr>
        <w:t>/关连</w:t>
      </w:r>
      <w:r>
        <w:rPr>
          <w:rFonts w:hint="eastAsia" w:cs="宋体" w:asciiTheme="minorEastAsia" w:hAnsiTheme="minorEastAsia" w:eastAsiaTheme="minorEastAsia"/>
          <w:b/>
          <w:sz w:val="24"/>
          <w:szCs w:val="24"/>
          <w:lang w:val="en-US"/>
        </w:rPr>
        <w:t>董事</w:t>
      </w:r>
      <w:r>
        <w:rPr>
          <w:rFonts w:hint="eastAsia" w:cs="宋体" w:asciiTheme="minorEastAsia" w:hAnsiTheme="minorEastAsia" w:eastAsiaTheme="minorEastAsia"/>
          <w:b/>
          <w:sz w:val="24"/>
          <w:szCs w:val="24"/>
          <w:lang w:val="en-US" w:eastAsia="zh-CN"/>
        </w:rPr>
        <w:t>徐海北</w:t>
      </w:r>
      <w:r>
        <w:rPr>
          <w:rFonts w:hint="eastAsia" w:cs="宋体" w:asciiTheme="minorEastAsia" w:hAnsiTheme="minorEastAsia" w:eastAsiaTheme="minorEastAsia"/>
          <w:b/>
          <w:sz w:val="24"/>
          <w:szCs w:val="24"/>
          <w:lang w:val="en-US"/>
        </w:rPr>
        <w:t>先生、王颖健先生回避表决，其余各董事均可投票。</w:t>
      </w:r>
    </w:p>
    <w:p>
      <w:pPr>
        <w:pStyle w:val="2"/>
        <w:spacing w:line="360" w:lineRule="auto"/>
        <w:ind w:left="113" w:firstLine="482" w:firstLineChars="200"/>
        <w:rPr>
          <w:rFonts w:hint="eastAsia"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根据上海证券交易所股票上市规则，上述关联交易事项未达到上市公司最近一期经审计净资产绝对值0.5%以上，亦未达到上海证券交易所股票上市规则关联交易的披露标准。</w:t>
      </w:r>
    </w:p>
    <w:p>
      <w:pPr>
        <w:pStyle w:val="2"/>
        <w:spacing w:line="360" w:lineRule="auto"/>
        <w:ind w:left="113" w:firstLine="482" w:firstLineChars="200"/>
        <w:rPr>
          <w:rFonts w:hint="eastAsia"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承租交易及售电交易分别符合《香港联合交易所有限公司证券上市的规则》第14A.76(1)(a)最低豁免水平的关连/关联交易及第14A.97条出售消费品或消费服务要求，可获得全面豁免遵守关连/关联交易股东批准及所有披露规定。</w:t>
      </w:r>
    </w:p>
    <w:p>
      <w:pPr>
        <w:pStyle w:val="2"/>
        <w:spacing w:line="360" w:lineRule="auto"/>
        <w:ind w:left="113" w:firstLine="480" w:firstLineChars="200"/>
        <w:rPr>
          <w:rFonts w:hint="eastAsia" w:cs="宋体" w:asciiTheme="minorEastAsia" w:hAnsiTheme="minorEastAsia" w:eastAsiaTheme="minorEastAsia"/>
          <w:sz w:val="24"/>
          <w:szCs w:val="24"/>
        </w:rPr>
      </w:pP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（四）审议并批准《关于提请召开公司2024年第一次临时股东大会的议案》。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同意本公司召开202</w:t>
      </w:r>
      <w:r>
        <w:rPr>
          <w:rFonts w:hint="eastAsia" w:cs="宋体" w:asciiTheme="minorEastAsia" w:hAnsiTheme="minorEastAsia" w:eastAsiaTheme="minorEastAsia"/>
          <w:sz w:val="24"/>
          <w:lang w:eastAsia="zh-CN"/>
        </w:rPr>
        <w:t>4</w:t>
      </w:r>
      <w:r>
        <w:rPr>
          <w:rFonts w:hint="eastAsia" w:cs="宋体" w:asciiTheme="minorEastAsia" w:hAnsiTheme="minorEastAsia" w:eastAsiaTheme="minorEastAsia"/>
          <w:sz w:val="24"/>
        </w:rPr>
        <w:t>年第一次临时股东大会，并授权董事会秘书</w:t>
      </w:r>
      <w:r>
        <w:rPr>
          <w:rFonts w:hint="eastAsia" w:cs="宋体" w:asciiTheme="minorEastAsia" w:hAnsiTheme="minorEastAsia" w:eastAsiaTheme="minorEastAsia"/>
          <w:sz w:val="24"/>
          <w:lang w:val="en-US" w:eastAsia="zh-CN"/>
        </w:rPr>
        <w:t>陈晋佳女士、公司秘书</w:t>
      </w:r>
      <w:r>
        <w:rPr>
          <w:rFonts w:hint="eastAsia" w:cs="宋体" w:asciiTheme="minorEastAsia" w:hAnsiTheme="minorEastAsia" w:eastAsiaTheme="minorEastAsia"/>
          <w:sz w:val="24"/>
        </w:rPr>
        <w:t>姚永嘉先生予以发布和印刷通知及通函。</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w:t>
      </w:r>
      <w:r>
        <w:rPr>
          <w:rFonts w:hint="eastAsia" w:cs="宋体" w:asciiTheme="minorEastAsia" w:hAnsiTheme="minorEastAsia" w:eastAsiaTheme="minorEastAsia"/>
          <w:b/>
          <w:sz w:val="24"/>
          <w:lang w:val="en-US" w:eastAsia="zh-CN"/>
        </w:rPr>
        <w:t>3</w:t>
      </w:r>
      <w:r>
        <w:rPr>
          <w:rFonts w:cs="宋体" w:asciiTheme="minorEastAsia" w:hAnsiTheme="minorEastAsia" w:eastAsiaTheme="minorEastAsia"/>
          <w:b/>
          <w:sz w:val="24"/>
        </w:rPr>
        <w:t>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cs="宋体" w:asciiTheme="minorEastAsia" w:hAnsiTheme="minorEastAsia" w:eastAsiaTheme="minorEastAsia"/>
          <w:sz w:val="24"/>
        </w:rPr>
      </w:pPr>
    </w:p>
    <w:p>
      <w:pPr>
        <w:pStyle w:val="5"/>
        <w:spacing w:line="360" w:lineRule="auto"/>
        <w:ind w:firstLine="482"/>
        <w:jc w:val="left"/>
        <w:rPr>
          <w:rFonts w:cs="宋体" w:asciiTheme="minorEastAsia" w:hAnsiTheme="minorEastAsia" w:eastAsiaTheme="minorEastAsia"/>
          <w:sz w:val="24"/>
          <w:szCs w:val="24"/>
        </w:rPr>
      </w:pPr>
      <w:r>
        <w:rPr>
          <w:rFonts w:hint="eastAsia" w:cs="宋体" w:asciiTheme="minorEastAsia" w:hAnsiTheme="minorEastAsia" w:eastAsiaTheme="minorEastAsia"/>
          <w:b/>
          <w:sz w:val="24"/>
        </w:rPr>
        <w:t>特此公告。</w:t>
      </w:r>
    </w:p>
    <w:p>
      <w:pPr>
        <w:adjustRightInd w:val="0"/>
        <w:spacing w:line="360" w:lineRule="auto"/>
        <w:ind w:firstLine="3855" w:firstLineChars="16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江苏宁沪高速公路股份有限公司董事会</w:t>
      </w:r>
    </w:p>
    <w:p>
      <w:pPr>
        <w:widowControl/>
        <w:spacing w:line="360" w:lineRule="auto"/>
        <w:ind w:firstLine="4578" w:firstLineChars="1900"/>
        <w:jc w:val="left"/>
        <w:rPr>
          <w:rFonts w:asciiTheme="minorEastAsia" w:hAnsiTheme="minorEastAsia" w:eastAsiaTheme="minorEastAsia"/>
          <w:sz w:val="24"/>
          <w:szCs w:val="24"/>
        </w:rPr>
      </w:pPr>
      <w:r>
        <w:rPr>
          <w:rFonts w:hint="eastAsia" w:cs="宋体" w:asciiTheme="minorEastAsia" w:hAnsiTheme="minorEastAsia" w:eastAsiaTheme="minorEastAsia"/>
          <w:b/>
          <w:sz w:val="24"/>
        </w:rPr>
        <w:t>二〇二</w:t>
      </w:r>
      <w:r>
        <w:rPr>
          <w:rFonts w:hint="eastAsia" w:cs="宋体" w:asciiTheme="minorEastAsia" w:hAnsiTheme="minorEastAsia" w:eastAsiaTheme="minorEastAsia"/>
          <w:b/>
          <w:sz w:val="24"/>
          <w:lang w:val="en-US" w:eastAsia="zh-CN"/>
        </w:rPr>
        <w:t>四</w:t>
      </w:r>
      <w:r>
        <w:rPr>
          <w:rFonts w:hint="eastAsia" w:cs="宋体" w:asciiTheme="minorEastAsia" w:hAnsiTheme="minorEastAsia" w:eastAsiaTheme="minorEastAsia"/>
          <w:b/>
          <w:sz w:val="24"/>
        </w:rPr>
        <w:t>年</w:t>
      </w:r>
      <w:r>
        <w:rPr>
          <w:rFonts w:hint="eastAsia" w:cs="宋体" w:asciiTheme="minorEastAsia" w:hAnsiTheme="minorEastAsia" w:eastAsiaTheme="minorEastAsia"/>
          <w:b/>
          <w:sz w:val="24"/>
          <w:lang w:val="en-US" w:eastAsia="zh-CN"/>
        </w:rPr>
        <w:t>一</w:t>
      </w:r>
      <w:r>
        <w:rPr>
          <w:rFonts w:hint="eastAsia" w:cs="宋体" w:asciiTheme="minorEastAsia" w:hAnsiTheme="minorEastAsia" w:eastAsiaTheme="minorEastAsia"/>
          <w:b/>
          <w:sz w:val="24"/>
        </w:rPr>
        <w:t>月二十</w:t>
      </w:r>
      <w:r>
        <w:rPr>
          <w:rFonts w:hint="eastAsia" w:cs="宋体" w:asciiTheme="minorEastAsia" w:hAnsiTheme="minorEastAsia" w:eastAsiaTheme="minorEastAsia"/>
          <w:b/>
          <w:sz w:val="24"/>
          <w:lang w:val="en-US" w:eastAsia="zh-CN"/>
        </w:rPr>
        <w:t>九</w:t>
      </w:r>
      <w:r>
        <w:rPr>
          <w:rFonts w:hint="eastAsia" w:cs="宋体" w:asciiTheme="minorEastAsia" w:hAnsiTheme="minorEastAsia" w:eastAsiaTheme="minorEastAsia"/>
          <w:b/>
          <w:sz w:val="24"/>
        </w:rPr>
        <w:t>日</w:t>
      </w:r>
    </w:p>
    <w:sectPr>
      <w:footerReference r:id="rId3" w:type="default"/>
      <w:footerReference r:id="rId4" w:type="even"/>
      <w:pgSz w:w="11906" w:h="16838"/>
      <w:pgMar w:top="1134" w:right="1474" w:bottom="1134" w:left="153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pPr>
          <w:pStyle w:val="9"/>
          <w:jc w:val="center"/>
        </w:pPr>
        <w:r>
          <w:fldChar w:fldCharType="begin"/>
        </w:r>
        <w:r>
          <w:instrText xml:space="preserve"> PAGE   \* MERGEFORMAT </w:instrText>
        </w:r>
        <w:r>
          <w:fldChar w:fldCharType="separate"/>
        </w:r>
        <w:r>
          <w:rPr>
            <w:lang w:val="zh-CN"/>
          </w:rPr>
          <w:t>5</w:t>
        </w:r>
        <w:r>
          <w:fldChar w:fldCharType="end"/>
        </w:r>
      </w:p>
    </w:sdtContent>
  </w:sdt>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1"/>
  <w:bordersDoNotSurroundFooter w:val="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2620"/>
    <w:rsid w:val="000049B8"/>
    <w:rsid w:val="00005496"/>
    <w:rsid w:val="0000584F"/>
    <w:rsid w:val="00005E2E"/>
    <w:rsid w:val="00007A25"/>
    <w:rsid w:val="0001102C"/>
    <w:rsid w:val="0001126D"/>
    <w:rsid w:val="00016757"/>
    <w:rsid w:val="0001765A"/>
    <w:rsid w:val="0001785A"/>
    <w:rsid w:val="00017A6F"/>
    <w:rsid w:val="000219D2"/>
    <w:rsid w:val="00023DAA"/>
    <w:rsid w:val="00027911"/>
    <w:rsid w:val="00034190"/>
    <w:rsid w:val="00034B5F"/>
    <w:rsid w:val="00035221"/>
    <w:rsid w:val="0003783F"/>
    <w:rsid w:val="00040BA4"/>
    <w:rsid w:val="0004264D"/>
    <w:rsid w:val="0004277A"/>
    <w:rsid w:val="000441F6"/>
    <w:rsid w:val="00047746"/>
    <w:rsid w:val="00050C3B"/>
    <w:rsid w:val="00052384"/>
    <w:rsid w:val="000526CF"/>
    <w:rsid w:val="00052CD1"/>
    <w:rsid w:val="00053588"/>
    <w:rsid w:val="00054D39"/>
    <w:rsid w:val="00055039"/>
    <w:rsid w:val="000556FF"/>
    <w:rsid w:val="00056857"/>
    <w:rsid w:val="000578C0"/>
    <w:rsid w:val="00061954"/>
    <w:rsid w:val="00062157"/>
    <w:rsid w:val="00062AF9"/>
    <w:rsid w:val="00063A61"/>
    <w:rsid w:val="0006475D"/>
    <w:rsid w:val="00065DBC"/>
    <w:rsid w:val="000662A2"/>
    <w:rsid w:val="000675FE"/>
    <w:rsid w:val="000704FA"/>
    <w:rsid w:val="00071F14"/>
    <w:rsid w:val="00075A6A"/>
    <w:rsid w:val="00081055"/>
    <w:rsid w:val="0008340A"/>
    <w:rsid w:val="00085196"/>
    <w:rsid w:val="00085A31"/>
    <w:rsid w:val="00085E52"/>
    <w:rsid w:val="000868C5"/>
    <w:rsid w:val="00087F85"/>
    <w:rsid w:val="0009122F"/>
    <w:rsid w:val="00091358"/>
    <w:rsid w:val="000918C8"/>
    <w:rsid w:val="0009324F"/>
    <w:rsid w:val="00093676"/>
    <w:rsid w:val="00095F9E"/>
    <w:rsid w:val="000961BA"/>
    <w:rsid w:val="00096509"/>
    <w:rsid w:val="00097CBB"/>
    <w:rsid w:val="000A2E90"/>
    <w:rsid w:val="000A468D"/>
    <w:rsid w:val="000A4C65"/>
    <w:rsid w:val="000A4D5E"/>
    <w:rsid w:val="000A592F"/>
    <w:rsid w:val="000B1866"/>
    <w:rsid w:val="000B3998"/>
    <w:rsid w:val="000B3E86"/>
    <w:rsid w:val="000C03A3"/>
    <w:rsid w:val="000C2825"/>
    <w:rsid w:val="000C2BAC"/>
    <w:rsid w:val="000C4C63"/>
    <w:rsid w:val="000C4D4B"/>
    <w:rsid w:val="000C52EB"/>
    <w:rsid w:val="000D1A13"/>
    <w:rsid w:val="000D257A"/>
    <w:rsid w:val="000D2AE7"/>
    <w:rsid w:val="000D5ABB"/>
    <w:rsid w:val="000D5F1A"/>
    <w:rsid w:val="000D6282"/>
    <w:rsid w:val="000D79B9"/>
    <w:rsid w:val="000E092A"/>
    <w:rsid w:val="000E3D93"/>
    <w:rsid w:val="000E54EA"/>
    <w:rsid w:val="000F0AAE"/>
    <w:rsid w:val="000F2496"/>
    <w:rsid w:val="000F359A"/>
    <w:rsid w:val="000F3858"/>
    <w:rsid w:val="000F7927"/>
    <w:rsid w:val="00100B58"/>
    <w:rsid w:val="00102B2C"/>
    <w:rsid w:val="00103459"/>
    <w:rsid w:val="001048EB"/>
    <w:rsid w:val="00104EAB"/>
    <w:rsid w:val="00111BA8"/>
    <w:rsid w:val="00112BE4"/>
    <w:rsid w:val="0011478C"/>
    <w:rsid w:val="001155E7"/>
    <w:rsid w:val="00115EC1"/>
    <w:rsid w:val="00116081"/>
    <w:rsid w:val="00117179"/>
    <w:rsid w:val="00120664"/>
    <w:rsid w:val="00122022"/>
    <w:rsid w:val="0012282C"/>
    <w:rsid w:val="00123339"/>
    <w:rsid w:val="00125CB3"/>
    <w:rsid w:val="00131852"/>
    <w:rsid w:val="00132F83"/>
    <w:rsid w:val="00134E99"/>
    <w:rsid w:val="0013597A"/>
    <w:rsid w:val="00135BC3"/>
    <w:rsid w:val="00136991"/>
    <w:rsid w:val="001377DF"/>
    <w:rsid w:val="001429A7"/>
    <w:rsid w:val="00144BCE"/>
    <w:rsid w:val="001459AD"/>
    <w:rsid w:val="00147739"/>
    <w:rsid w:val="0015081A"/>
    <w:rsid w:val="001509BC"/>
    <w:rsid w:val="0015152F"/>
    <w:rsid w:val="00154752"/>
    <w:rsid w:val="00155541"/>
    <w:rsid w:val="0016175F"/>
    <w:rsid w:val="00162B1D"/>
    <w:rsid w:val="001646E8"/>
    <w:rsid w:val="001663CB"/>
    <w:rsid w:val="001677F8"/>
    <w:rsid w:val="00172E9E"/>
    <w:rsid w:val="00177EFB"/>
    <w:rsid w:val="00180024"/>
    <w:rsid w:val="00183028"/>
    <w:rsid w:val="00191209"/>
    <w:rsid w:val="0019168E"/>
    <w:rsid w:val="001922F0"/>
    <w:rsid w:val="00192C8E"/>
    <w:rsid w:val="00192FC7"/>
    <w:rsid w:val="00193393"/>
    <w:rsid w:val="001940B8"/>
    <w:rsid w:val="001971A5"/>
    <w:rsid w:val="001A3D57"/>
    <w:rsid w:val="001A5BDE"/>
    <w:rsid w:val="001A6F57"/>
    <w:rsid w:val="001B1BCE"/>
    <w:rsid w:val="001B35DC"/>
    <w:rsid w:val="001B56D0"/>
    <w:rsid w:val="001B62FA"/>
    <w:rsid w:val="001B7836"/>
    <w:rsid w:val="001C1E80"/>
    <w:rsid w:val="001C4325"/>
    <w:rsid w:val="001C49DE"/>
    <w:rsid w:val="001C5BD3"/>
    <w:rsid w:val="001C6A7F"/>
    <w:rsid w:val="001D1E44"/>
    <w:rsid w:val="001D26C5"/>
    <w:rsid w:val="001D2822"/>
    <w:rsid w:val="001D288C"/>
    <w:rsid w:val="001D6675"/>
    <w:rsid w:val="001D7F02"/>
    <w:rsid w:val="001E4044"/>
    <w:rsid w:val="001E4403"/>
    <w:rsid w:val="001E49EB"/>
    <w:rsid w:val="001E51EB"/>
    <w:rsid w:val="001E6D72"/>
    <w:rsid w:val="001E6FA1"/>
    <w:rsid w:val="001E71C0"/>
    <w:rsid w:val="001F0180"/>
    <w:rsid w:val="001F0626"/>
    <w:rsid w:val="001F1315"/>
    <w:rsid w:val="001F155F"/>
    <w:rsid w:val="001F16BD"/>
    <w:rsid w:val="001F2E2E"/>
    <w:rsid w:val="001F4AA5"/>
    <w:rsid w:val="001F5319"/>
    <w:rsid w:val="001F5B83"/>
    <w:rsid w:val="001F5DF3"/>
    <w:rsid w:val="001F771E"/>
    <w:rsid w:val="00200429"/>
    <w:rsid w:val="00201B70"/>
    <w:rsid w:val="00203707"/>
    <w:rsid w:val="0020484C"/>
    <w:rsid w:val="002057CE"/>
    <w:rsid w:val="00210E09"/>
    <w:rsid w:val="00211C7E"/>
    <w:rsid w:val="002126BF"/>
    <w:rsid w:val="00212D3B"/>
    <w:rsid w:val="0021500E"/>
    <w:rsid w:val="0021654F"/>
    <w:rsid w:val="00216AA0"/>
    <w:rsid w:val="00216E01"/>
    <w:rsid w:val="002207CF"/>
    <w:rsid w:val="00222B18"/>
    <w:rsid w:val="00222EE0"/>
    <w:rsid w:val="0022314C"/>
    <w:rsid w:val="002247D3"/>
    <w:rsid w:val="00225B27"/>
    <w:rsid w:val="0023118C"/>
    <w:rsid w:val="002314A5"/>
    <w:rsid w:val="00231561"/>
    <w:rsid w:val="002315C1"/>
    <w:rsid w:val="002335D7"/>
    <w:rsid w:val="002369D3"/>
    <w:rsid w:val="00236D8E"/>
    <w:rsid w:val="002410E4"/>
    <w:rsid w:val="00243E8F"/>
    <w:rsid w:val="002448B2"/>
    <w:rsid w:val="00252AF1"/>
    <w:rsid w:val="00252B07"/>
    <w:rsid w:val="00254B71"/>
    <w:rsid w:val="002607C6"/>
    <w:rsid w:val="002623BC"/>
    <w:rsid w:val="00263363"/>
    <w:rsid w:val="00265543"/>
    <w:rsid w:val="002667BC"/>
    <w:rsid w:val="00272E63"/>
    <w:rsid w:val="00273EA6"/>
    <w:rsid w:val="00274A31"/>
    <w:rsid w:val="00276069"/>
    <w:rsid w:val="002761D8"/>
    <w:rsid w:val="002765A6"/>
    <w:rsid w:val="002768C7"/>
    <w:rsid w:val="00277121"/>
    <w:rsid w:val="00277989"/>
    <w:rsid w:val="002801E7"/>
    <w:rsid w:val="00280544"/>
    <w:rsid w:val="002809AE"/>
    <w:rsid w:val="00281261"/>
    <w:rsid w:val="00282094"/>
    <w:rsid w:val="002825E4"/>
    <w:rsid w:val="0028341C"/>
    <w:rsid w:val="0028581E"/>
    <w:rsid w:val="00290175"/>
    <w:rsid w:val="00290F26"/>
    <w:rsid w:val="00291B59"/>
    <w:rsid w:val="00291BAB"/>
    <w:rsid w:val="002931D1"/>
    <w:rsid w:val="00293E03"/>
    <w:rsid w:val="002976C5"/>
    <w:rsid w:val="00297991"/>
    <w:rsid w:val="002A00E1"/>
    <w:rsid w:val="002A062B"/>
    <w:rsid w:val="002A1F3A"/>
    <w:rsid w:val="002A25DD"/>
    <w:rsid w:val="002A3B46"/>
    <w:rsid w:val="002A44CE"/>
    <w:rsid w:val="002A5130"/>
    <w:rsid w:val="002A5C98"/>
    <w:rsid w:val="002A77F2"/>
    <w:rsid w:val="002A7EAB"/>
    <w:rsid w:val="002B004E"/>
    <w:rsid w:val="002B0E7C"/>
    <w:rsid w:val="002B140D"/>
    <w:rsid w:val="002B1826"/>
    <w:rsid w:val="002B524C"/>
    <w:rsid w:val="002C1757"/>
    <w:rsid w:val="002C18ED"/>
    <w:rsid w:val="002C5DBE"/>
    <w:rsid w:val="002D00EC"/>
    <w:rsid w:val="002D365E"/>
    <w:rsid w:val="002D40F8"/>
    <w:rsid w:val="002D43F8"/>
    <w:rsid w:val="002D5D14"/>
    <w:rsid w:val="002D5F15"/>
    <w:rsid w:val="002D64C8"/>
    <w:rsid w:val="002E01A9"/>
    <w:rsid w:val="002E33A0"/>
    <w:rsid w:val="002E45AA"/>
    <w:rsid w:val="002E704C"/>
    <w:rsid w:val="002F09F9"/>
    <w:rsid w:val="002F25EC"/>
    <w:rsid w:val="00300876"/>
    <w:rsid w:val="00300ED7"/>
    <w:rsid w:val="0030175C"/>
    <w:rsid w:val="0030381B"/>
    <w:rsid w:val="003038D1"/>
    <w:rsid w:val="00303DB1"/>
    <w:rsid w:val="00304EAC"/>
    <w:rsid w:val="00305305"/>
    <w:rsid w:val="003060DF"/>
    <w:rsid w:val="00306209"/>
    <w:rsid w:val="00307A78"/>
    <w:rsid w:val="00312E5A"/>
    <w:rsid w:val="00314AC1"/>
    <w:rsid w:val="0032199A"/>
    <w:rsid w:val="00321F71"/>
    <w:rsid w:val="00323507"/>
    <w:rsid w:val="00326D36"/>
    <w:rsid w:val="00326EC9"/>
    <w:rsid w:val="00331EB7"/>
    <w:rsid w:val="00331EE7"/>
    <w:rsid w:val="00332A81"/>
    <w:rsid w:val="0033500C"/>
    <w:rsid w:val="00335ACF"/>
    <w:rsid w:val="003369AC"/>
    <w:rsid w:val="003375CB"/>
    <w:rsid w:val="0034109E"/>
    <w:rsid w:val="00343877"/>
    <w:rsid w:val="003476FE"/>
    <w:rsid w:val="00354242"/>
    <w:rsid w:val="003549C9"/>
    <w:rsid w:val="00354F35"/>
    <w:rsid w:val="003611B2"/>
    <w:rsid w:val="0036343D"/>
    <w:rsid w:val="00363BA0"/>
    <w:rsid w:val="003643F9"/>
    <w:rsid w:val="00366AFE"/>
    <w:rsid w:val="0037028E"/>
    <w:rsid w:val="003707E9"/>
    <w:rsid w:val="00371B54"/>
    <w:rsid w:val="00371C0B"/>
    <w:rsid w:val="00371EE3"/>
    <w:rsid w:val="0037240B"/>
    <w:rsid w:val="0037494C"/>
    <w:rsid w:val="00375262"/>
    <w:rsid w:val="00376548"/>
    <w:rsid w:val="00377599"/>
    <w:rsid w:val="00381FE7"/>
    <w:rsid w:val="00383402"/>
    <w:rsid w:val="00384250"/>
    <w:rsid w:val="00384B47"/>
    <w:rsid w:val="00386988"/>
    <w:rsid w:val="00390F5C"/>
    <w:rsid w:val="0039121B"/>
    <w:rsid w:val="00392C9D"/>
    <w:rsid w:val="003957AD"/>
    <w:rsid w:val="003A0E93"/>
    <w:rsid w:val="003A78CC"/>
    <w:rsid w:val="003A7AD7"/>
    <w:rsid w:val="003A7F1F"/>
    <w:rsid w:val="003B3357"/>
    <w:rsid w:val="003B3E1C"/>
    <w:rsid w:val="003B4209"/>
    <w:rsid w:val="003B664C"/>
    <w:rsid w:val="003B6A60"/>
    <w:rsid w:val="003B7E81"/>
    <w:rsid w:val="003C0214"/>
    <w:rsid w:val="003C0344"/>
    <w:rsid w:val="003C157F"/>
    <w:rsid w:val="003C4EA7"/>
    <w:rsid w:val="003C6F1A"/>
    <w:rsid w:val="003C750D"/>
    <w:rsid w:val="003C764D"/>
    <w:rsid w:val="003D15F5"/>
    <w:rsid w:val="003D2278"/>
    <w:rsid w:val="003D46D2"/>
    <w:rsid w:val="003D54D8"/>
    <w:rsid w:val="003D5ABE"/>
    <w:rsid w:val="003D5C6C"/>
    <w:rsid w:val="003E0E50"/>
    <w:rsid w:val="003E4759"/>
    <w:rsid w:val="003E53E2"/>
    <w:rsid w:val="003F154A"/>
    <w:rsid w:val="003F31FA"/>
    <w:rsid w:val="003F5076"/>
    <w:rsid w:val="003F52BC"/>
    <w:rsid w:val="003F5B6C"/>
    <w:rsid w:val="003F6E06"/>
    <w:rsid w:val="003F6ED8"/>
    <w:rsid w:val="00400DAE"/>
    <w:rsid w:val="0040201A"/>
    <w:rsid w:val="00402726"/>
    <w:rsid w:val="0040364E"/>
    <w:rsid w:val="00403C1F"/>
    <w:rsid w:val="00405105"/>
    <w:rsid w:val="00405FDF"/>
    <w:rsid w:val="00407059"/>
    <w:rsid w:val="004074B8"/>
    <w:rsid w:val="00407B8B"/>
    <w:rsid w:val="00411BDC"/>
    <w:rsid w:val="004125DD"/>
    <w:rsid w:val="00414AE4"/>
    <w:rsid w:val="00416009"/>
    <w:rsid w:val="0041614E"/>
    <w:rsid w:val="00420D99"/>
    <w:rsid w:val="00421468"/>
    <w:rsid w:val="004217D7"/>
    <w:rsid w:val="00421EAE"/>
    <w:rsid w:val="00423E08"/>
    <w:rsid w:val="0042425D"/>
    <w:rsid w:val="0042607D"/>
    <w:rsid w:val="00427099"/>
    <w:rsid w:val="00431219"/>
    <w:rsid w:val="00431BC7"/>
    <w:rsid w:val="004361E6"/>
    <w:rsid w:val="004420C3"/>
    <w:rsid w:val="004469B2"/>
    <w:rsid w:val="00452254"/>
    <w:rsid w:val="00452F56"/>
    <w:rsid w:val="00454D3C"/>
    <w:rsid w:val="004628D0"/>
    <w:rsid w:val="0046461E"/>
    <w:rsid w:val="004652E0"/>
    <w:rsid w:val="00466992"/>
    <w:rsid w:val="00466C2E"/>
    <w:rsid w:val="004675DB"/>
    <w:rsid w:val="00467CA1"/>
    <w:rsid w:val="00473794"/>
    <w:rsid w:val="00474D1D"/>
    <w:rsid w:val="00475917"/>
    <w:rsid w:val="00475FAD"/>
    <w:rsid w:val="00477544"/>
    <w:rsid w:val="00480100"/>
    <w:rsid w:val="004801D1"/>
    <w:rsid w:val="004828F4"/>
    <w:rsid w:val="00483D94"/>
    <w:rsid w:val="00487562"/>
    <w:rsid w:val="00492784"/>
    <w:rsid w:val="00493113"/>
    <w:rsid w:val="004934F0"/>
    <w:rsid w:val="0049391E"/>
    <w:rsid w:val="004946D0"/>
    <w:rsid w:val="004967FD"/>
    <w:rsid w:val="004968D3"/>
    <w:rsid w:val="004A00F3"/>
    <w:rsid w:val="004A02EC"/>
    <w:rsid w:val="004A037A"/>
    <w:rsid w:val="004A4600"/>
    <w:rsid w:val="004A749A"/>
    <w:rsid w:val="004B10E0"/>
    <w:rsid w:val="004B2B41"/>
    <w:rsid w:val="004B3187"/>
    <w:rsid w:val="004B355B"/>
    <w:rsid w:val="004C01C3"/>
    <w:rsid w:val="004C029F"/>
    <w:rsid w:val="004C3AF4"/>
    <w:rsid w:val="004C4368"/>
    <w:rsid w:val="004C5D73"/>
    <w:rsid w:val="004C6918"/>
    <w:rsid w:val="004C7433"/>
    <w:rsid w:val="004D042E"/>
    <w:rsid w:val="004D0A48"/>
    <w:rsid w:val="004D4633"/>
    <w:rsid w:val="004D4E2C"/>
    <w:rsid w:val="004D5937"/>
    <w:rsid w:val="004D5E4B"/>
    <w:rsid w:val="004D7165"/>
    <w:rsid w:val="004E0753"/>
    <w:rsid w:val="004E148F"/>
    <w:rsid w:val="004E2694"/>
    <w:rsid w:val="004E3EC8"/>
    <w:rsid w:val="004E3FBF"/>
    <w:rsid w:val="004F4077"/>
    <w:rsid w:val="004F4341"/>
    <w:rsid w:val="004F74DA"/>
    <w:rsid w:val="00502E01"/>
    <w:rsid w:val="00503D84"/>
    <w:rsid w:val="00504C2E"/>
    <w:rsid w:val="00510C51"/>
    <w:rsid w:val="00511660"/>
    <w:rsid w:val="005131BF"/>
    <w:rsid w:val="00513844"/>
    <w:rsid w:val="005159A6"/>
    <w:rsid w:val="00520EA4"/>
    <w:rsid w:val="00521157"/>
    <w:rsid w:val="00521215"/>
    <w:rsid w:val="00523719"/>
    <w:rsid w:val="00524505"/>
    <w:rsid w:val="00525093"/>
    <w:rsid w:val="005269CB"/>
    <w:rsid w:val="00527A67"/>
    <w:rsid w:val="0053107A"/>
    <w:rsid w:val="00531AA2"/>
    <w:rsid w:val="00532C25"/>
    <w:rsid w:val="00533FFB"/>
    <w:rsid w:val="00535680"/>
    <w:rsid w:val="00537FCE"/>
    <w:rsid w:val="005405FD"/>
    <w:rsid w:val="00542BAA"/>
    <w:rsid w:val="00546BCE"/>
    <w:rsid w:val="00546D99"/>
    <w:rsid w:val="00547B5E"/>
    <w:rsid w:val="00551D30"/>
    <w:rsid w:val="00553C2C"/>
    <w:rsid w:val="00555A98"/>
    <w:rsid w:val="00555D9A"/>
    <w:rsid w:val="00557E00"/>
    <w:rsid w:val="00561AFE"/>
    <w:rsid w:val="00562458"/>
    <w:rsid w:val="00566104"/>
    <w:rsid w:val="0056758A"/>
    <w:rsid w:val="005677C4"/>
    <w:rsid w:val="005723A5"/>
    <w:rsid w:val="005725B2"/>
    <w:rsid w:val="005736F9"/>
    <w:rsid w:val="0057435F"/>
    <w:rsid w:val="0057627B"/>
    <w:rsid w:val="005768E7"/>
    <w:rsid w:val="00577FBA"/>
    <w:rsid w:val="0058071B"/>
    <w:rsid w:val="00581391"/>
    <w:rsid w:val="00581BE4"/>
    <w:rsid w:val="005820F6"/>
    <w:rsid w:val="00582CC0"/>
    <w:rsid w:val="00584949"/>
    <w:rsid w:val="00584A24"/>
    <w:rsid w:val="00585373"/>
    <w:rsid w:val="00586238"/>
    <w:rsid w:val="00586590"/>
    <w:rsid w:val="005919F1"/>
    <w:rsid w:val="00591F94"/>
    <w:rsid w:val="00592204"/>
    <w:rsid w:val="00593C5C"/>
    <w:rsid w:val="00594F58"/>
    <w:rsid w:val="005976D5"/>
    <w:rsid w:val="005A3629"/>
    <w:rsid w:val="005A7957"/>
    <w:rsid w:val="005B09A6"/>
    <w:rsid w:val="005B22DE"/>
    <w:rsid w:val="005B2A40"/>
    <w:rsid w:val="005B30A9"/>
    <w:rsid w:val="005C2052"/>
    <w:rsid w:val="005C6267"/>
    <w:rsid w:val="005C692E"/>
    <w:rsid w:val="005C74CA"/>
    <w:rsid w:val="005D047C"/>
    <w:rsid w:val="005D1C4C"/>
    <w:rsid w:val="005D3C52"/>
    <w:rsid w:val="005D3C89"/>
    <w:rsid w:val="005D5D09"/>
    <w:rsid w:val="005E02E6"/>
    <w:rsid w:val="005E26F8"/>
    <w:rsid w:val="005E2D9D"/>
    <w:rsid w:val="005E438B"/>
    <w:rsid w:val="005F2967"/>
    <w:rsid w:val="005F7C50"/>
    <w:rsid w:val="006009F4"/>
    <w:rsid w:val="0060189A"/>
    <w:rsid w:val="006019AC"/>
    <w:rsid w:val="0060421B"/>
    <w:rsid w:val="00604BA3"/>
    <w:rsid w:val="00607572"/>
    <w:rsid w:val="00610301"/>
    <w:rsid w:val="00612FF4"/>
    <w:rsid w:val="00613F2A"/>
    <w:rsid w:val="00616367"/>
    <w:rsid w:val="006167C1"/>
    <w:rsid w:val="00616B82"/>
    <w:rsid w:val="00617B9D"/>
    <w:rsid w:val="00620643"/>
    <w:rsid w:val="00621347"/>
    <w:rsid w:val="006249F2"/>
    <w:rsid w:val="0062517F"/>
    <w:rsid w:val="00632B38"/>
    <w:rsid w:val="0063400F"/>
    <w:rsid w:val="00634111"/>
    <w:rsid w:val="00634158"/>
    <w:rsid w:val="00634D7B"/>
    <w:rsid w:val="00636201"/>
    <w:rsid w:val="00636E51"/>
    <w:rsid w:val="00637C79"/>
    <w:rsid w:val="00641896"/>
    <w:rsid w:val="0064386F"/>
    <w:rsid w:val="006449BE"/>
    <w:rsid w:val="00645195"/>
    <w:rsid w:val="00646CBA"/>
    <w:rsid w:val="00650E00"/>
    <w:rsid w:val="00651FF5"/>
    <w:rsid w:val="0065259D"/>
    <w:rsid w:val="00653A96"/>
    <w:rsid w:val="00654B6A"/>
    <w:rsid w:val="006568C2"/>
    <w:rsid w:val="00660B38"/>
    <w:rsid w:val="00660D2A"/>
    <w:rsid w:val="006620AB"/>
    <w:rsid w:val="006622CE"/>
    <w:rsid w:val="0066307C"/>
    <w:rsid w:val="00663A4C"/>
    <w:rsid w:val="00664CE8"/>
    <w:rsid w:val="006660BA"/>
    <w:rsid w:val="00666D99"/>
    <w:rsid w:val="00667CA3"/>
    <w:rsid w:val="00670505"/>
    <w:rsid w:val="00670D0B"/>
    <w:rsid w:val="00671243"/>
    <w:rsid w:val="00672F48"/>
    <w:rsid w:val="00673552"/>
    <w:rsid w:val="00674C44"/>
    <w:rsid w:val="0067610C"/>
    <w:rsid w:val="006766D0"/>
    <w:rsid w:val="00677928"/>
    <w:rsid w:val="00681767"/>
    <w:rsid w:val="0068576D"/>
    <w:rsid w:val="00686903"/>
    <w:rsid w:val="00691848"/>
    <w:rsid w:val="006929BC"/>
    <w:rsid w:val="00695E4E"/>
    <w:rsid w:val="00697994"/>
    <w:rsid w:val="006A31D0"/>
    <w:rsid w:val="006A3FC1"/>
    <w:rsid w:val="006A4AB4"/>
    <w:rsid w:val="006A6121"/>
    <w:rsid w:val="006B131A"/>
    <w:rsid w:val="006B1C1F"/>
    <w:rsid w:val="006B2EB4"/>
    <w:rsid w:val="006C1723"/>
    <w:rsid w:val="006C4C18"/>
    <w:rsid w:val="006C7DAA"/>
    <w:rsid w:val="006D151C"/>
    <w:rsid w:val="006D185F"/>
    <w:rsid w:val="006D1BCF"/>
    <w:rsid w:val="006D2F90"/>
    <w:rsid w:val="006D5928"/>
    <w:rsid w:val="006D5DA8"/>
    <w:rsid w:val="006D6BFF"/>
    <w:rsid w:val="006D78F8"/>
    <w:rsid w:val="006E148C"/>
    <w:rsid w:val="006E5A3E"/>
    <w:rsid w:val="006E64B6"/>
    <w:rsid w:val="006E65AE"/>
    <w:rsid w:val="006F434D"/>
    <w:rsid w:val="00700B9B"/>
    <w:rsid w:val="00701C48"/>
    <w:rsid w:val="00701D29"/>
    <w:rsid w:val="00702596"/>
    <w:rsid w:val="007032DB"/>
    <w:rsid w:val="00703A95"/>
    <w:rsid w:val="00703DC2"/>
    <w:rsid w:val="007046A6"/>
    <w:rsid w:val="007047DF"/>
    <w:rsid w:val="00704D95"/>
    <w:rsid w:val="00705F65"/>
    <w:rsid w:val="00706C4A"/>
    <w:rsid w:val="007073CA"/>
    <w:rsid w:val="00710E9E"/>
    <w:rsid w:val="00713779"/>
    <w:rsid w:val="0071640C"/>
    <w:rsid w:val="00716DE9"/>
    <w:rsid w:val="0072147C"/>
    <w:rsid w:val="00721920"/>
    <w:rsid w:val="00721A79"/>
    <w:rsid w:val="0072399A"/>
    <w:rsid w:val="00724DED"/>
    <w:rsid w:val="0072639B"/>
    <w:rsid w:val="00731149"/>
    <w:rsid w:val="00732E26"/>
    <w:rsid w:val="00733F0D"/>
    <w:rsid w:val="00734269"/>
    <w:rsid w:val="00737E2E"/>
    <w:rsid w:val="0074109A"/>
    <w:rsid w:val="0074150D"/>
    <w:rsid w:val="00741B34"/>
    <w:rsid w:val="00741ECA"/>
    <w:rsid w:val="00744B1B"/>
    <w:rsid w:val="00745199"/>
    <w:rsid w:val="0074602F"/>
    <w:rsid w:val="007468C4"/>
    <w:rsid w:val="00746AF7"/>
    <w:rsid w:val="00750C55"/>
    <w:rsid w:val="007511AF"/>
    <w:rsid w:val="007517DE"/>
    <w:rsid w:val="007522BE"/>
    <w:rsid w:val="00753B27"/>
    <w:rsid w:val="007541F7"/>
    <w:rsid w:val="007554FE"/>
    <w:rsid w:val="007558EA"/>
    <w:rsid w:val="007576DC"/>
    <w:rsid w:val="007577B5"/>
    <w:rsid w:val="00757E1B"/>
    <w:rsid w:val="00760F9A"/>
    <w:rsid w:val="00763534"/>
    <w:rsid w:val="00767A7B"/>
    <w:rsid w:val="00770D4C"/>
    <w:rsid w:val="00771E19"/>
    <w:rsid w:val="0077267A"/>
    <w:rsid w:val="00773DEC"/>
    <w:rsid w:val="00773EB1"/>
    <w:rsid w:val="00774D82"/>
    <w:rsid w:val="0077796A"/>
    <w:rsid w:val="00777CC7"/>
    <w:rsid w:val="00781688"/>
    <w:rsid w:val="007821D4"/>
    <w:rsid w:val="00787096"/>
    <w:rsid w:val="007877F2"/>
    <w:rsid w:val="00787AF7"/>
    <w:rsid w:val="00792B6D"/>
    <w:rsid w:val="007943B2"/>
    <w:rsid w:val="00795976"/>
    <w:rsid w:val="007978F1"/>
    <w:rsid w:val="007A0980"/>
    <w:rsid w:val="007A1FC2"/>
    <w:rsid w:val="007A3640"/>
    <w:rsid w:val="007A39CA"/>
    <w:rsid w:val="007A3F82"/>
    <w:rsid w:val="007A4D1C"/>
    <w:rsid w:val="007A4D5F"/>
    <w:rsid w:val="007A61DC"/>
    <w:rsid w:val="007A7F05"/>
    <w:rsid w:val="007B068C"/>
    <w:rsid w:val="007B212A"/>
    <w:rsid w:val="007B225B"/>
    <w:rsid w:val="007B26B6"/>
    <w:rsid w:val="007B2AD5"/>
    <w:rsid w:val="007B4709"/>
    <w:rsid w:val="007B6048"/>
    <w:rsid w:val="007C335F"/>
    <w:rsid w:val="007C6482"/>
    <w:rsid w:val="007D3182"/>
    <w:rsid w:val="007D7A5E"/>
    <w:rsid w:val="007E1A77"/>
    <w:rsid w:val="007E2B0C"/>
    <w:rsid w:val="007E3D43"/>
    <w:rsid w:val="007E4CA7"/>
    <w:rsid w:val="007E51A5"/>
    <w:rsid w:val="007E69EC"/>
    <w:rsid w:val="007F10AC"/>
    <w:rsid w:val="007F3BD3"/>
    <w:rsid w:val="007F4C1E"/>
    <w:rsid w:val="007F648B"/>
    <w:rsid w:val="00800E7E"/>
    <w:rsid w:val="0080132D"/>
    <w:rsid w:val="00801FDA"/>
    <w:rsid w:val="00802EED"/>
    <w:rsid w:val="00805899"/>
    <w:rsid w:val="00805A6E"/>
    <w:rsid w:val="0080677F"/>
    <w:rsid w:val="00813951"/>
    <w:rsid w:val="00814CC1"/>
    <w:rsid w:val="008168C2"/>
    <w:rsid w:val="008175C6"/>
    <w:rsid w:val="0081785A"/>
    <w:rsid w:val="00817F17"/>
    <w:rsid w:val="00820979"/>
    <w:rsid w:val="00821D14"/>
    <w:rsid w:val="00822588"/>
    <w:rsid w:val="0082360E"/>
    <w:rsid w:val="00824395"/>
    <w:rsid w:val="0083359B"/>
    <w:rsid w:val="008344BD"/>
    <w:rsid w:val="008349BF"/>
    <w:rsid w:val="00842549"/>
    <w:rsid w:val="0084617D"/>
    <w:rsid w:val="00846896"/>
    <w:rsid w:val="008474C5"/>
    <w:rsid w:val="00850436"/>
    <w:rsid w:val="008514BA"/>
    <w:rsid w:val="00851515"/>
    <w:rsid w:val="00851ABB"/>
    <w:rsid w:val="00851F5B"/>
    <w:rsid w:val="008525D1"/>
    <w:rsid w:val="00852F6E"/>
    <w:rsid w:val="00855E12"/>
    <w:rsid w:val="00860E75"/>
    <w:rsid w:val="00860EF8"/>
    <w:rsid w:val="0086117E"/>
    <w:rsid w:val="008613E2"/>
    <w:rsid w:val="00861526"/>
    <w:rsid w:val="008621FD"/>
    <w:rsid w:val="0086291B"/>
    <w:rsid w:val="00865FAA"/>
    <w:rsid w:val="00866CBA"/>
    <w:rsid w:val="00873144"/>
    <w:rsid w:val="008737C8"/>
    <w:rsid w:val="008760CF"/>
    <w:rsid w:val="0087667A"/>
    <w:rsid w:val="00876912"/>
    <w:rsid w:val="00876E77"/>
    <w:rsid w:val="0087724A"/>
    <w:rsid w:val="00877CE0"/>
    <w:rsid w:val="00882BFF"/>
    <w:rsid w:val="008851C4"/>
    <w:rsid w:val="008853DE"/>
    <w:rsid w:val="00887747"/>
    <w:rsid w:val="00891C5F"/>
    <w:rsid w:val="00892F8C"/>
    <w:rsid w:val="00894360"/>
    <w:rsid w:val="00895F4C"/>
    <w:rsid w:val="0089618B"/>
    <w:rsid w:val="00897828"/>
    <w:rsid w:val="00897CEF"/>
    <w:rsid w:val="00897DA4"/>
    <w:rsid w:val="008A08CC"/>
    <w:rsid w:val="008A21B2"/>
    <w:rsid w:val="008A2FB4"/>
    <w:rsid w:val="008A4DBE"/>
    <w:rsid w:val="008A528E"/>
    <w:rsid w:val="008A5809"/>
    <w:rsid w:val="008A5BDD"/>
    <w:rsid w:val="008A6912"/>
    <w:rsid w:val="008B0040"/>
    <w:rsid w:val="008B07BB"/>
    <w:rsid w:val="008B29CB"/>
    <w:rsid w:val="008B5B1C"/>
    <w:rsid w:val="008B6B34"/>
    <w:rsid w:val="008C1D1E"/>
    <w:rsid w:val="008C2FCB"/>
    <w:rsid w:val="008C5AAD"/>
    <w:rsid w:val="008C74BE"/>
    <w:rsid w:val="008C7FB1"/>
    <w:rsid w:val="008D03ED"/>
    <w:rsid w:val="008D060E"/>
    <w:rsid w:val="008D3D23"/>
    <w:rsid w:val="008D736F"/>
    <w:rsid w:val="008D7589"/>
    <w:rsid w:val="008D7FD3"/>
    <w:rsid w:val="008E3FB0"/>
    <w:rsid w:val="008E50AB"/>
    <w:rsid w:val="008F09DA"/>
    <w:rsid w:val="008F26EB"/>
    <w:rsid w:val="008F3269"/>
    <w:rsid w:val="008F32F2"/>
    <w:rsid w:val="008F3E71"/>
    <w:rsid w:val="008F4090"/>
    <w:rsid w:val="008F5714"/>
    <w:rsid w:val="008F775A"/>
    <w:rsid w:val="009003F7"/>
    <w:rsid w:val="009004C7"/>
    <w:rsid w:val="0090061C"/>
    <w:rsid w:val="00903F38"/>
    <w:rsid w:val="0090481C"/>
    <w:rsid w:val="0090519E"/>
    <w:rsid w:val="00905E6C"/>
    <w:rsid w:val="0090668E"/>
    <w:rsid w:val="0091022B"/>
    <w:rsid w:val="009175CC"/>
    <w:rsid w:val="00920DB4"/>
    <w:rsid w:val="009227B3"/>
    <w:rsid w:val="00922D03"/>
    <w:rsid w:val="00923A48"/>
    <w:rsid w:val="00927503"/>
    <w:rsid w:val="00927838"/>
    <w:rsid w:val="0093062E"/>
    <w:rsid w:val="00931060"/>
    <w:rsid w:val="00931DE4"/>
    <w:rsid w:val="00934F45"/>
    <w:rsid w:val="0093655F"/>
    <w:rsid w:val="00936BDF"/>
    <w:rsid w:val="00937409"/>
    <w:rsid w:val="00940597"/>
    <w:rsid w:val="009407D6"/>
    <w:rsid w:val="0094249B"/>
    <w:rsid w:val="0094373E"/>
    <w:rsid w:val="009439D8"/>
    <w:rsid w:val="009448C8"/>
    <w:rsid w:val="009455E6"/>
    <w:rsid w:val="00947C70"/>
    <w:rsid w:val="00950FA2"/>
    <w:rsid w:val="009510C5"/>
    <w:rsid w:val="009511F4"/>
    <w:rsid w:val="0095309F"/>
    <w:rsid w:val="00953756"/>
    <w:rsid w:val="009542CB"/>
    <w:rsid w:val="00954D0E"/>
    <w:rsid w:val="00956506"/>
    <w:rsid w:val="00956A58"/>
    <w:rsid w:val="00960851"/>
    <w:rsid w:val="009608E2"/>
    <w:rsid w:val="00960C2D"/>
    <w:rsid w:val="00963A63"/>
    <w:rsid w:val="00965F59"/>
    <w:rsid w:val="0097249A"/>
    <w:rsid w:val="00972BFD"/>
    <w:rsid w:val="00973235"/>
    <w:rsid w:val="009733CE"/>
    <w:rsid w:val="0097605D"/>
    <w:rsid w:val="0097727F"/>
    <w:rsid w:val="00977798"/>
    <w:rsid w:val="00980148"/>
    <w:rsid w:val="00981DF3"/>
    <w:rsid w:val="00982EDF"/>
    <w:rsid w:val="00985BA9"/>
    <w:rsid w:val="00986E30"/>
    <w:rsid w:val="00990210"/>
    <w:rsid w:val="009918CB"/>
    <w:rsid w:val="00993D69"/>
    <w:rsid w:val="0099676C"/>
    <w:rsid w:val="009978DA"/>
    <w:rsid w:val="009A0421"/>
    <w:rsid w:val="009A0545"/>
    <w:rsid w:val="009A5C4D"/>
    <w:rsid w:val="009A60C1"/>
    <w:rsid w:val="009A6DFD"/>
    <w:rsid w:val="009A7999"/>
    <w:rsid w:val="009B1940"/>
    <w:rsid w:val="009C1F92"/>
    <w:rsid w:val="009C3E84"/>
    <w:rsid w:val="009C4C67"/>
    <w:rsid w:val="009C6135"/>
    <w:rsid w:val="009C76A9"/>
    <w:rsid w:val="009D053D"/>
    <w:rsid w:val="009D0B8F"/>
    <w:rsid w:val="009D0BCF"/>
    <w:rsid w:val="009D0FBB"/>
    <w:rsid w:val="009D1593"/>
    <w:rsid w:val="009D2710"/>
    <w:rsid w:val="009D3370"/>
    <w:rsid w:val="009D4838"/>
    <w:rsid w:val="009D545D"/>
    <w:rsid w:val="009D55A2"/>
    <w:rsid w:val="009D5630"/>
    <w:rsid w:val="009D5C3D"/>
    <w:rsid w:val="009D6F73"/>
    <w:rsid w:val="009E03B9"/>
    <w:rsid w:val="009E0F0C"/>
    <w:rsid w:val="009E121D"/>
    <w:rsid w:val="009E1351"/>
    <w:rsid w:val="009E15D9"/>
    <w:rsid w:val="009E440D"/>
    <w:rsid w:val="009E5B89"/>
    <w:rsid w:val="009F1D1E"/>
    <w:rsid w:val="009F365F"/>
    <w:rsid w:val="009F4F3F"/>
    <w:rsid w:val="009F5BA9"/>
    <w:rsid w:val="00A002AD"/>
    <w:rsid w:val="00A01F7B"/>
    <w:rsid w:val="00A01FB7"/>
    <w:rsid w:val="00A07911"/>
    <w:rsid w:val="00A10662"/>
    <w:rsid w:val="00A1312B"/>
    <w:rsid w:val="00A14146"/>
    <w:rsid w:val="00A145FF"/>
    <w:rsid w:val="00A1483E"/>
    <w:rsid w:val="00A1486D"/>
    <w:rsid w:val="00A15027"/>
    <w:rsid w:val="00A15737"/>
    <w:rsid w:val="00A15B0A"/>
    <w:rsid w:val="00A16950"/>
    <w:rsid w:val="00A23602"/>
    <w:rsid w:val="00A24BB0"/>
    <w:rsid w:val="00A255E6"/>
    <w:rsid w:val="00A25CDD"/>
    <w:rsid w:val="00A26518"/>
    <w:rsid w:val="00A2684A"/>
    <w:rsid w:val="00A30821"/>
    <w:rsid w:val="00A30BBD"/>
    <w:rsid w:val="00A3253A"/>
    <w:rsid w:val="00A33409"/>
    <w:rsid w:val="00A3424A"/>
    <w:rsid w:val="00A34BEA"/>
    <w:rsid w:val="00A35B9F"/>
    <w:rsid w:val="00A36245"/>
    <w:rsid w:val="00A37208"/>
    <w:rsid w:val="00A44863"/>
    <w:rsid w:val="00A44A1A"/>
    <w:rsid w:val="00A45C86"/>
    <w:rsid w:val="00A47E18"/>
    <w:rsid w:val="00A505F8"/>
    <w:rsid w:val="00A51235"/>
    <w:rsid w:val="00A515DE"/>
    <w:rsid w:val="00A526F4"/>
    <w:rsid w:val="00A53787"/>
    <w:rsid w:val="00A53987"/>
    <w:rsid w:val="00A540E1"/>
    <w:rsid w:val="00A541BC"/>
    <w:rsid w:val="00A55B1A"/>
    <w:rsid w:val="00A55B8B"/>
    <w:rsid w:val="00A605F2"/>
    <w:rsid w:val="00A664C4"/>
    <w:rsid w:val="00A66FE4"/>
    <w:rsid w:val="00A704D0"/>
    <w:rsid w:val="00A71715"/>
    <w:rsid w:val="00A7242F"/>
    <w:rsid w:val="00A72AFD"/>
    <w:rsid w:val="00A7351A"/>
    <w:rsid w:val="00A735FA"/>
    <w:rsid w:val="00A74A96"/>
    <w:rsid w:val="00A763C9"/>
    <w:rsid w:val="00A766C6"/>
    <w:rsid w:val="00A77D9B"/>
    <w:rsid w:val="00A800C6"/>
    <w:rsid w:val="00A80673"/>
    <w:rsid w:val="00A83760"/>
    <w:rsid w:val="00A83F2B"/>
    <w:rsid w:val="00A87831"/>
    <w:rsid w:val="00A90778"/>
    <w:rsid w:val="00A979BA"/>
    <w:rsid w:val="00AA1537"/>
    <w:rsid w:val="00AA2B7B"/>
    <w:rsid w:val="00AA34F0"/>
    <w:rsid w:val="00AA47DB"/>
    <w:rsid w:val="00AA4C13"/>
    <w:rsid w:val="00AA5B0C"/>
    <w:rsid w:val="00AA700C"/>
    <w:rsid w:val="00AB0551"/>
    <w:rsid w:val="00AB0DE5"/>
    <w:rsid w:val="00AB31AF"/>
    <w:rsid w:val="00AB434A"/>
    <w:rsid w:val="00AB7A8F"/>
    <w:rsid w:val="00AB7EEF"/>
    <w:rsid w:val="00AC0320"/>
    <w:rsid w:val="00AC0AEF"/>
    <w:rsid w:val="00AC49FC"/>
    <w:rsid w:val="00AC5F73"/>
    <w:rsid w:val="00AD1F41"/>
    <w:rsid w:val="00AD23DF"/>
    <w:rsid w:val="00AD3E70"/>
    <w:rsid w:val="00AD3F43"/>
    <w:rsid w:val="00AD6C35"/>
    <w:rsid w:val="00AE10CA"/>
    <w:rsid w:val="00AE2104"/>
    <w:rsid w:val="00AE2CC4"/>
    <w:rsid w:val="00AF0E6A"/>
    <w:rsid w:val="00AF1153"/>
    <w:rsid w:val="00AF20FF"/>
    <w:rsid w:val="00AF2254"/>
    <w:rsid w:val="00AF29A1"/>
    <w:rsid w:val="00AF421D"/>
    <w:rsid w:val="00AF53EF"/>
    <w:rsid w:val="00AF5EC4"/>
    <w:rsid w:val="00B05D9E"/>
    <w:rsid w:val="00B07955"/>
    <w:rsid w:val="00B11611"/>
    <w:rsid w:val="00B11FF9"/>
    <w:rsid w:val="00B133CF"/>
    <w:rsid w:val="00B13425"/>
    <w:rsid w:val="00B13CBF"/>
    <w:rsid w:val="00B1416A"/>
    <w:rsid w:val="00B14297"/>
    <w:rsid w:val="00B17F08"/>
    <w:rsid w:val="00B219A3"/>
    <w:rsid w:val="00B222E1"/>
    <w:rsid w:val="00B23998"/>
    <w:rsid w:val="00B24512"/>
    <w:rsid w:val="00B24559"/>
    <w:rsid w:val="00B258DC"/>
    <w:rsid w:val="00B263B2"/>
    <w:rsid w:val="00B26519"/>
    <w:rsid w:val="00B2715F"/>
    <w:rsid w:val="00B30404"/>
    <w:rsid w:val="00B30C86"/>
    <w:rsid w:val="00B3182C"/>
    <w:rsid w:val="00B31889"/>
    <w:rsid w:val="00B3231C"/>
    <w:rsid w:val="00B3599D"/>
    <w:rsid w:val="00B365F9"/>
    <w:rsid w:val="00B36A3D"/>
    <w:rsid w:val="00B409B2"/>
    <w:rsid w:val="00B416AD"/>
    <w:rsid w:val="00B41837"/>
    <w:rsid w:val="00B42335"/>
    <w:rsid w:val="00B42B71"/>
    <w:rsid w:val="00B438A1"/>
    <w:rsid w:val="00B43D66"/>
    <w:rsid w:val="00B44FEB"/>
    <w:rsid w:val="00B47D84"/>
    <w:rsid w:val="00B54AA7"/>
    <w:rsid w:val="00B564A9"/>
    <w:rsid w:val="00B610F3"/>
    <w:rsid w:val="00B61A0F"/>
    <w:rsid w:val="00B61CC6"/>
    <w:rsid w:val="00B63545"/>
    <w:rsid w:val="00B6479A"/>
    <w:rsid w:val="00B65F92"/>
    <w:rsid w:val="00B70B45"/>
    <w:rsid w:val="00B7123C"/>
    <w:rsid w:val="00B7329A"/>
    <w:rsid w:val="00B7468B"/>
    <w:rsid w:val="00B755BE"/>
    <w:rsid w:val="00B76E3D"/>
    <w:rsid w:val="00B77B08"/>
    <w:rsid w:val="00B81DAC"/>
    <w:rsid w:val="00B843B8"/>
    <w:rsid w:val="00B85409"/>
    <w:rsid w:val="00B85597"/>
    <w:rsid w:val="00B86235"/>
    <w:rsid w:val="00B86321"/>
    <w:rsid w:val="00B86501"/>
    <w:rsid w:val="00B879AA"/>
    <w:rsid w:val="00B9207A"/>
    <w:rsid w:val="00B9214F"/>
    <w:rsid w:val="00B94455"/>
    <w:rsid w:val="00B948D6"/>
    <w:rsid w:val="00B94979"/>
    <w:rsid w:val="00B94F90"/>
    <w:rsid w:val="00B979CC"/>
    <w:rsid w:val="00BA1CD5"/>
    <w:rsid w:val="00BA2C36"/>
    <w:rsid w:val="00BA381B"/>
    <w:rsid w:val="00BB16DA"/>
    <w:rsid w:val="00BB21AF"/>
    <w:rsid w:val="00BB2F30"/>
    <w:rsid w:val="00BB391E"/>
    <w:rsid w:val="00BB54FB"/>
    <w:rsid w:val="00BB5898"/>
    <w:rsid w:val="00BB637F"/>
    <w:rsid w:val="00BB7435"/>
    <w:rsid w:val="00BB750E"/>
    <w:rsid w:val="00BC02E2"/>
    <w:rsid w:val="00BC1053"/>
    <w:rsid w:val="00BC1CE8"/>
    <w:rsid w:val="00BC1D02"/>
    <w:rsid w:val="00BC24F5"/>
    <w:rsid w:val="00BC609D"/>
    <w:rsid w:val="00BD08B2"/>
    <w:rsid w:val="00BD1159"/>
    <w:rsid w:val="00BD3C90"/>
    <w:rsid w:val="00BD50A2"/>
    <w:rsid w:val="00BD5B4D"/>
    <w:rsid w:val="00BD753B"/>
    <w:rsid w:val="00BD7CA6"/>
    <w:rsid w:val="00BE004B"/>
    <w:rsid w:val="00BE0519"/>
    <w:rsid w:val="00BE0E14"/>
    <w:rsid w:val="00BE19A1"/>
    <w:rsid w:val="00BE2ED4"/>
    <w:rsid w:val="00BE4451"/>
    <w:rsid w:val="00BE78B0"/>
    <w:rsid w:val="00BF08B9"/>
    <w:rsid w:val="00BF109A"/>
    <w:rsid w:val="00BF1304"/>
    <w:rsid w:val="00BF3A2F"/>
    <w:rsid w:val="00BF3FA0"/>
    <w:rsid w:val="00BF4C72"/>
    <w:rsid w:val="00BF54F0"/>
    <w:rsid w:val="00C008D1"/>
    <w:rsid w:val="00C01256"/>
    <w:rsid w:val="00C01B27"/>
    <w:rsid w:val="00C0362B"/>
    <w:rsid w:val="00C03D57"/>
    <w:rsid w:val="00C0456B"/>
    <w:rsid w:val="00C047C6"/>
    <w:rsid w:val="00C04CFB"/>
    <w:rsid w:val="00C04D0F"/>
    <w:rsid w:val="00C0539F"/>
    <w:rsid w:val="00C06535"/>
    <w:rsid w:val="00C0711C"/>
    <w:rsid w:val="00C1286A"/>
    <w:rsid w:val="00C134B5"/>
    <w:rsid w:val="00C17810"/>
    <w:rsid w:val="00C20D75"/>
    <w:rsid w:val="00C20F86"/>
    <w:rsid w:val="00C221ED"/>
    <w:rsid w:val="00C23D2A"/>
    <w:rsid w:val="00C2446A"/>
    <w:rsid w:val="00C24892"/>
    <w:rsid w:val="00C25584"/>
    <w:rsid w:val="00C2561C"/>
    <w:rsid w:val="00C268FF"/>
    <w:rsid w:val="00C34AD8"/>
    <w:rsid w:val="00C36176"/>
    <w:rsid w:val="00C36D38"/>
    <w:rsid w:val="00C3709B"/>
    <w:rsid w:val="00C379D3"/>
    <w:rsid w:val="00C40358"/>
    <w:rsid w:val="00C403EB"/>
    <w:rsid w:val="00C41EAC"/>
    <w:rsid w:val="00C43861"/>
    <w:rsid w:val="00C44423"/>
    <w:rsid w:val="00C44609"/>
    <w:rsid w:val="00C455C5"/>
    <w:rsid w:val="00C529EB"/>
    <w:rsid w:val="00C53D69"/>
    <w:rsid w:val="00C559C4"/>
    <w:rsid w:val="00C56F0D"/>
    <w:rsid w:val="00C57452"/>
    <w:rsid w:val="00C6183F"/>
    <w:rsid w:val="00C62393"/>
    <w:rsid w:val="00C62AF6"/>
    <w:rsid w:val="00C6312B"/>
    <w:rsid w:val="00C639DF"/>
    <w:rsid w:val="00C649ED"/>
    <w:rsid w:val="00C70051"/>
    <w:rsid w:val="00C706CD"/>
    <w:rsid w:val="00C7249A"/>
    <w:rsid w:val="00C76672"/>
    <w:rsid w:val="00C76B52"/>
    <w:rsid w:val="00C774E0"/>
    <w:rsid w:val="00C779EC"/>
    <w:rsid w:val="00C81B80"/>
    <w:rsid w:val="00C81EBD"/>
    <w:rsid w:val="00C8285E"/>
    <w:rsid w:val="00C83C37"/>
    <w:rsid w:val="00C83DD9"/>
    <w:rsid w:val="00C8513A"/>
    <w:rsid w:val="00C85963"/>
    <w:rsid w:val="00C87087"/>
    <w:rsid w:val="00C876A3"/>
    <w:rsid w:val="00C87E7A"/>
    <w:rsid w:val="00C90DE3"/>
    <w:rsid w:val="00C97372"/>
    <w:rsid w:val="00C9745F"/>
    <w:rsid w:val="00C97DD3"/>
    <w:rsid w:val="00CA3635"/>
    <w:rsid w:val="00CA4367"/>
    <w:rsid w:val="00CA6208"/>
    <w:rsid w:val="00CA7849"/>
    <w:rsid w:val="00CB3448"/>
    <w:rsid w:val="00CB3FAD"/>
    <w:rsid w:val="00CB48C2"/>
    <w:rsid w:val="00CB63AE"/>
    <w:rsid w:val="00CB7BDA"/>
    <w:rsid w:val="00CC056A"/>
    <w:rsid w:val="00CC0B39"/>
    <w:rsid w:val="00CC114E"/>
    <w:rsid w:val="00CC398F"/>
    <w:rsid w:val="00CC5BD4"/>
    <w:rsid w:val="00CD0895"/>
    <w:rsid w:val="00CD10C4"/>
    <w:rsid w:val="00CD1159"/>
    <w:rsid w:val="00CD1AA0"/>
    <w:rsid w:val="00CD4149"/>
    <w:rsid w:val="00CD59C1"/>
    <w:rsid w:val="00CD5AF9"/>
    <w:rsid w:val="00CE0A6A"/>
    <w:rsid w:val="00CE18A2"/>
    <w:rsid w:val="00CE1C35"/>
    <w:rsid w:val="00CE6624"/>
    <w:rsid w:val="00CE6B55"/>
    <w:rsid w:val="00CE6DF6"/>
    <w:rsid w:val="00CF0262"/>
    <w:rsid w:val="00CF05F5"/>
    <w:rsid w:val="00CF0A0B"/>
    <w:rsid w:val="00CF7F0E"/>
    <w:rsid w:val="00D01D1F"/>
    <w:rsid w:val="00D02315"/>
    <w:rsid w:val="00D02F98"/>
    <w:rsid w:val="00D06198"/>
    <w:rsid w:val="00D078A8"/>
    <w:rsid w:val="00D07FCF"/>
    <w:rsid w:val="00D135CC"/>
    <w:rsid w:val="00D14198"/>
    <w:rsid w:val="00D15E81"/>
    <w:rsid w:val="00D16DA8"/>
    <w:rsid w:val="00D173CD"/>
    <w:rsid w:val="00D17401"/>
    <w:rsid w:val="00D20CD5"/>
    <w:rsid w:val="00D23EC0"/>
    <w:rsid w:val="00D26367"/>
    <w:rsid w:val="00D2690C"/>
    <w:rsid w:val="00D2724B"/>
    <w:rsid w:val="00D27685"/>
    <w:rsid w:val="00D325BA"/>
    <w:rsid w:val="00D32631"/>
    <w:rsid w:val="00D32637"/>
    <w:rsid w:val="00D32B33"/>
    <w:rsid w:val="00D34544"/>
    <w:rsid w:val="00D34E84"/>
    <w:rsid w:val="00D352F0"/>
    <w:rsid w:val="00D377F3"/>
    <w:rsid w:val="00D378A5"/>
    <w:rsid w:val="00D37AB5"/>
    <w:rsid w:val="00D37C7F"/>
    <w:rsid w:val="00D4288F"/>
    <w:rsid w:val="00D4348F"/>
    <w:rsid w:val="00D446D6"/>
    <w:rsid w:val="00D46463"/>
    <w:rsid w:val="00D546A7"/>
    <w:rsid w:val="00D55342"/>
    <w:rsid w:val="00D55A9E"/>
    <w:rsid w:val="00D5662E"/>
    <w:rsid w:val="00D574DC"/>
    <w:rsid w:val="00D57D36"/>
    <w:rsid w:val="00D60228"/>
    <w:rsid w:val="00D604C2"/>
    <w:rsid w:val="00D61D2D"/>
    <w:rsid w:val="00D6535C"/>
    <w:rsid w:val="00D7028D"/>
    <w:rsid w:val="00D74EF9"/>
    <w:rsid w:val="00D768DA"/>
    <w:rsid w:val="00D809E2"/>
    <w:rsid w:val="00D80A3E"/>
    <w:rsid w:val="00D80B55"/>
    <w:rsid w:val="00D82C84"/>
    <w:rsid w:val="00D844B2"/>
    <w:rsid w:val="00D85538"/>
    <w:rsid w:val="00D85B30"/>
    <w:rsid w:val="00D869F2"/>
    <w:rsid w:val="00D90144"/>
    <w:rsid w:val="00D92487"/>
    <w:rsid w:val="00D9483F"/>
    <w:rsid w:val="00D956C0"/>
    <w:rsid w:val="00DA0354"/>
    <w:rsid w:val="00DA050A"/>
    <w:rsid w:val="00DA091A"/>
    <w:rsid w:val="00DA1BC7"/>
    <w:rsid w:val="00DA455A"/>
    <w:rsid w:val="00DB09A3"/>
    <w:rsid w:val="00DB4C2F"/>
    <w:rsid w:val="00DB4E6E"/>
    <w:rsid w:val="00DC0718"/>
    <w:rsid w:val="00DC2337"/>
    <w:rsid w:val="00DC3ED7"/>
    <w:rsid w:val="00DC4969"/>
    <w:rsid w:val="00DC5692"/>
    <w:rsid w:val="00DC65AF"/>
    <w:rsid w:val="00DC6CAB"/>
    <w:rsid w:val="00DC70A2"/>
    <w:rsid w:val="00DD1E52"/>
    <w:rsid w:val="00DD3206"/>
    <w:rsid w:val="00DE060D"/>
    <w:rsid w:val="00DE089F"/>
    <w:rsid w:val="00DE2B2A"/>
    <w:rsid w:val="00DE44D3"/>
    <w:rsid w:val="00DE51A9"/>
    <w:rsid w:val="00DF57C9"/>
    <w:rsid w:val="00DF709E"/>
    <w:rsid w:val="00DF74F9"/>
    <w:rsid w:val="00E01874"/>
    <w:rsid w:val="00E02BF7"/>
    <w:rsid w:val="00E0586E"/>
    <w:rsid w:val="00E1491B"/>
    <w:rsid w:val="00E14F3E"/>
    <w:rsid w:val="00E14FBF"/>
    <w:rsid w:val="00E163A4"/>
    <w:rsid w:val="00E17FAA"/>
    <w:rsid w:val="00E21E60"/>
    <w:rsid w:val="00E225D6"/>
    <w:rsid w:val="00E22D02"/>
    <w:rsid w:val="00E231E9"/>
    <w:rsid w:val="00E247CB"/>
    <w:rsid w:val="00E24EA9"/>
    <w:rsid w:val="00E25511"/>
    <w:rsid w:val="00E26B2D"/>
    <w:rsid w:val="00E30AAC"/>
    <w:rsid w:val="00E32DF9"/>
    <w:rsid w:val="00E34285"/>
    <w:rsid w:val="00E373A1"/>
    <w:rsid w:val="00E41163"/>
    <w:rsid w:val="00E43595"/>
    <w:rsid w:val="00E44443"/>
    <w:rsid w:val="00E45242"/>
    <w:rsid w:val="00E47893"/>
    <w:rsid w:val="00E50AAE"/>
    <w:rsid w:val="00E51AE5"/>
    <w:rsid w:val="00E51C02"/>
    <w:rsid w:val="00E52162"/>
    <w:rsid w:val="00E52CD4"/>
    <w:rsid w:val="00E53B53"/>
    <w:rsid w:val="00E53E9B"/>
    <w:rsid w:val="00E55F64"/>
    <w:rsid w:val="00E56040"/>
    <w:rsid w:val="00E5612D"/>
    <w:rsid w:val="00E57739"/>
    <w:rsid w:val="00E57897"/>
    <w:rsid w:val="00E60638"/>
    <w:rsid w:val="00E61784"/>
    <w:rsid w:val="00E640C5"/>
    <w:rsid w:val="00E64453"/>
    <w:rsid w:val="00E65D14"/>
    <w:rsid w:val="00E667F3"/>
    <w:rsid w:val="00E67235"/>
    <w:rsid w:val="00E70E12"/>
    <w:rsid w:val="00E7474E"/>
    <w:rsid w:val="00E75B2E"/>
    <w:rsid w:val="00E76BA2"/>
    <w:rsid w:val="00E804E1"/>
    <w:rsid w:val="00E80A2B"/>
    <w:rsid w:val="00E81153"/>
    <w:rsid w:val="00E82481"/>
    <w:rsid w:val="00E845F2"/>
    <w:rsid w:val="00E848EE"/>
    <w:rsid w:val="00E84DC2"/>
    <w:rsid w:val="00E86D18"/>
    <w:rsid w:val="00E91253"/>
    <w:rsid w:val="00E9438D"/>
    <w:rsid w:val="00EA009D"/>
    <w:rsid w:val="00EA1AFD"/>
    <w:rsid w:val="00EA2170"/>
    <w:rsid w:val="00EA2779"/>
    <w:rsid w:val="00EA3B5B"/>
    <w:rsid w:val="00EA4788"/>
    <w:rsid w:val="00EA5555"/>
    <w:rsid w:val="00EA5A2C"/>
    <w:rsid w:val="00EA5E46"/>
    <w:rsid w:val="00EA60E5"/>
    <w:rsid w:val="00EA6D97"/>
    <w:rsid w:val="00EA712C"/>
    <w:rsid w:val="00EA7233"/>
    <w:rsid w:val="00EA7902"/>
    <w:rsid w:val="00EB0E4F"/>
    <w:rsid w:val="00EB0F89"/>
    <w:rsid w:val="00EB164C"/>
    <w:rsid w:val="00EB3EAB"/>
    <w:rsid w:val="00EB4671"/>
    <w:rsid w:val="00EB4945"/>
    <w:rsid w:val="00EB4BF7"/>
    <w:rsid w:val="00EB6284"/>
    <w:rsid w:val="00EC41BB"/>
    <w:rsid w:val="00EC5418"/>
    <w:rsid w:val="00EC5932"/>
    <w:rsid w:val="00ED2154"/>
    <w:rsid w:val="00ED2CC1"/>
    <w:rsid w:val="00ED2E69"/>
    <w:rsid w:val="00ED34A2"/>
    <w:rsid w:val="00ED4894"/>
    <w:rsid w:val="00ED5264"/>
    <w:rsid w:val="00ED6545"/>
    <w:rsid w:val="00ED7503"/>
    <w:rsid w:val="00ED7CA8"/>
    <w:rsid w:val="00EE08F4"/>
    <w:rsid w:val="00EE2675"/>
    <w:rsid w:val="00EE2AAA"/>
    <w:rsid w:val="00EE4029"/>
    <w:rsid w:val="00EE4047"/>
    <w:rsid w:val="00EE4384"/>
    <w:rsid w:val="00EE463E"/>
    <w:rsid w:val="00EE4674"/>
    <w:rsid w:val="00EE4CD4"/>
    <w:rsid w:val="00EE5E3C"/>
    <w:rsid w:val="00EE77E5"/>
    <w:rsid w:val="00EF100C"/>
    <w:rsid w:val="00EF416A"/>
    <w:rsid w:val="00EF51DD"/>
    <w:rsid w:val="00EF5D6B"/>
    <w:rsid w:val="00EF716C"/>
    <w:rsid w:val="00F00E52"/>
    <w:rsid w:val="00F020DB"/>
    <w:rsid w:val="00F03CD7"/>
    <w:rsid w:val="00F06588"/>
    <w:rsid w:val="00F07852"/>
    <w:rsid w:val="00F1015F"/>
    <w:rsid w:val="00F1037B"/>
    <w:rsid w:val="00F10722"/>
    <w:rsid w:val="00F11EB7"/>
    <w:rsid w:val="00F14757"/>
    <w:rsid w:val="00F154EB"/>
    <w:rsid w:val="00F15773"/>
    <w:rsid w:val="00F15861"/>
    <w:rsid w:val="00F1650D"/>
    <w:rsid w:val="00F20351"/>
    <w:rsid w:val="00F2094C"/>
    <w:rsid w:val="00F20CD5"/>
    <w:rsid w:val="00F21636"/>
    <w:rsid w:val="00F219E0"/>
    <w:rsid w:val="00F21BDC"/>
    <w:rsid w:val="00F21FA8"/>
    <w:rsid w:val="00F22225"/>
    <w:rsid w:val="00F26237"/>
    <w:rsid w:val="00F268BC"/>
    <w:rsid w:val="00F304C3"/>
    <w:rsid w:val="00F314BD"/>
    <w:rsid w:val="00F326A1"/>
    <w:rsid w:val="00F332D8"/>
    <w:rsid w:val="00F377A5"/>
    <w:rsid w:val="00F40009"/>
    <w:rsid w:val="00F411B6"/>
    <w:rsid w:val="00F41246"/>
    <w:rsid w:val="00F43043"/>
    <w:rsid w:val="00F43FF6"/>
    <w:rsid w:val="00F44485"/>
    <w:rsid w:val="00F46A44"/>
    <w:rsid w:val="00F46DF0"/>
    <w:rsid w:val="00F47C43"/>
    <w:rsid w:val="00F50E9E"/>
    <w:rsid w:val="00F51F44"/>
    <w:rsid w:val="00F5215C"/>
    <w:rsid w:val="00F53DEC"/>
    <w:rsid w:val="00F562BD"/>
    <w:rsid w:val="00F567EF"/>
    <w:rsid w:val="00F571B1"/>
    <w:rsid w:val="00F603C5"/>
    <w:rsid w:val="00F6231E"/>
    <w:rsid w:val="00F6301A"/>
    <w:rsid w:val="00F715DE"/>
    <w:rsid w:val="00F71B64"/>
    <w:rsid w:val="00F7211E"/>
    <w:rsid w:val="00F72B8B"/>
    <w:rsid w:val="00F74578"/>
    <w:rsid w:val="00F74FF4"/>
    <w:rsid w:val="00F758A0"/>
    <w:rsid w:val="00F7634C"/>
    <w:rsid w:val="00F76AE8"/>
    <w:rsid w:val="00F77728"/>
    <w:rsid w:val="00F8589F"/>
    <w:rsid w:val="00F859A7"/>
    <w:rsid w:val="00F85FF1"/>
    <w:rsid w:val="00F8649E"/>
    <w:rsid w:val="00F86CF6"/>
    <w:rsid w:val="00F87898"/>
    <w:rsid w:val="00F90527"/>
    <w:rsid w:val="00F91333"/>
    <w:rsid w:val="00F9305C"/>
    <w:rsid w:val="00F94431"/>
    <w:rsid w:val="00F94BDD"/>
    <w:rsid w:val="00F9553A"/>
    <w:rsid w:val="00F956BF"/>
    <w:rsid w:val="00F95760"/>
    <w:rsid w:val="00F97698"/>
    <w:rsid w:val="00F977E7"/>
    <w:rsid w:val="00FA09A1"/>
    <w:rsid w:val="00FA1B69"/>
    <w:rsid w:val="00FA28C7"/>
    <w:rsid w:val="00FA513F"/>
    <w:rsid w:val="00FA58E0"/>
    <w:rsid w:val="00FA5D0F"/>
    <w:rsid w:val="00FA6E29"/>
    <w:rsid w:val="00FA77C9"/>
    <w:rsid w:val="00FA7960"/>
    <w:rsid w:val="00FB0FDF"/>
    <w:rsid w:val="00FB387F"/>
    <w:rsid w:val="00FB5E0E"/>
    <w:rsid w:val="00FB603A"/>
    <w:rsid w:val="00FB7852"/>
    <w:rsid w:val="00FC09B4"/>
    <w:rsid w:val="00FC2481"/>
    <w:rsid w:val="00FC38CD"/>
    <w:rsid w:val="00FC47F2"/>
    <w:rsid w:val="00FC7347"/>
    <w:rsid w:val="00FD2BB2"/>
    <w:rsid w:val="00FD31B7"/>
    <w:rsid w:val="00FD51F7"/>
    <w:rsid w:val="00FD5E96"/>
    <w:rsid w:val="00FE04DA"/>
    <w:rsid w:val="00FE2172"/>
    <w:rsid w:val="00FE2777"/>
    <w:rsid w:val="00FE3CCD"/>
    <w:rsid w:val="00FE7666"/>
    <w:rsid w:val="00FE78A3"/>
    <w:rsid w:val="00FF0B8F"/>
    <w:rsid w:val="00FF50EE"/>
    <w:rsid w:val="00FF5EF6"/>
    <w:rsid w:val="00FF5F1B"/>
    <w:rsid w:val="00FF63B6"/>
    <w:rsid w:val="00FF712D"/>
    <w:rsid w:val="00FF77EA"/>
    <w:rsid w:val="03333B32"/>
    <w:rsid w:val="03D520F4"/>
    <w:rsid w:val="05010BC4"/>
    <w:rsid w:val="062A4F87"/>
    <w:rsid w:val="071D4AEC"/>
    <w:rsid w:val="073D6AE8"/>
    <w:rsid w:val="08B57BAB"/>
    <w:rsid w:val="0B4118D8"/>
    <w:rsid w:val="0B6E7792"/>
    <w:rsid w:val="0BC17C78"/>
    <w:rsid w:val="0DA2683C"/>
    <w:rsid w:val="0DD51794"/>
    <w:rsid w:val="0E3558E2"/>
    <w:rsid w:val="10463913"/>
    <w:rsid w:val="11423BBD"/>
    <w:rsid w:val="131274CE"/>
    <w:rsid w:val="13BB549B"/>
    <w:rsid w:val="144A310D"/>
    <w:rsid w:val="1720707D"/>
    <w:rsid w:val="17D53E03"/>
    <w:rsid w:val="185374EE"/>
    <w:rsid w:val="191D7B8A"/>
    <w:rsid w:val="1A631948"/>
    <w:rsid w:val="1AD50D73"/>
    <w:rsid w:val="1B38737F"/>
    <w:rsid w:val="1C4E4F8C"/>
    <w:rsid w:val="1DF72B4C"/>
    <w:rsid w:val="1E707ECB"/>
    <w:rsid w:val="1EDA3123"/>
    <w:rsid w:val="1F690D08"/>
    <w:rsid w:val="21026B76"/>
    <w:rsid w:val="2213611E"/>
    <w:rsid w:val="224A65EC"/>
    <w:rsid w:val="22602004"/>
    <w:rsid w:val="22F01249"/>
    <w:rsid w:val="2332554E"/>
    <w:rsid w:val="23776960"/>
    <w:rsid w:val="23D21FA7"/>
    <w:rsid w:val="23D9610A"/>
    <w:rsid w:val="247805AC"/>
    <w:rsid w:val="24BB15A2"/>
    <w:rsid w:val="27FE6802"/>
    <w:rsid w:val="281178FD"/>
    <w:rsid w:val="28814A83"/>
    <w:rsid w:val="289F721E"/>
    <w:rsid w:val="291B00A6"/>
    <w:rsid w:val="29B60C6F"/>
    <w:rsid w:val="2A146AD0"/>
    <w:rsid w:val="2A1C2BF7"/>
    <w:rsid w:val="2A8A372E"/>
    <w:rsid w:val="2CDD5B84"/>
    <w:rsid w:val="2E505623"/>
    <w:rsid w:val="2FCE7068"/>
    <w:rsid w:val="300B0A61"/>
    <w:rsid w:val="32FD230D"/>
    <w:rsid w:val="33680A14"/>
    <w:rsid w:val="33A92885"/>
    <w:rsid w:val="34443AB5"/>
    <w:rsid w:val="34877D66"/>
    <w:rsid w:val="34FF745B"/>
    <w:rsid w:val="36277128"/>
    <w:rsid w:val="36D44CD2"/>
    <w:rsid w:val="370D6431"/>
    <w:rsid w:val="378620B5"/>
    <w:rsid w:val="3BCD0338"/>
    <w:rsid w:val="3C1557B6"/>
    <w:rsid w:val="3CBB3A09"/>
    <w:rsid w:val="3D1B66CA"/>
    <w:rsid w:val="3D281AEE"/>
    <w:rsid w:val="3D6F0EF6"/>
    <w:rsid w:val="3FEA709F"/>
    <w:rsid w:val="40B51316"/>
    <w:rsid w:val="4125649B"/>
    <w:rsid w:val="42CE66BF"/>
    <w:rsid w:val="434509CF"/>
    <w:rsid w:val="43571E00"/>
    <w:rsid w:val="45BC7A00"/>
    <w:rsid w:val="45F97EF6"/>
    <w:rsid w:val="464F4558"/>
    <w:rsid w:val="46971BE9"/>
    <w:rsid w:val="471748B1"/>
    <w:rsid w:val="47565513"/>
    <w:rsid w:val="482F19AD"/>
    <w:rsid w:val="4967220C"/>
    <w:rsid w:val="4B0C71A5"/>
    <w:rsid w:val="4BC6336A"/>
    <w:rsid w:val="4CB22BAD"/>
    <w:rsid w:val="4D150064"/>
    <w:rsid w:val="4DE516D8"/>
    <w:rsid w:val="4E6708E9"/>
    <w:rsid w:val="4E8C5DAC"/>
    <w:rsid w:val="4EBE4F33"/>
    <w:rsid w:val="4F2B5DCC"/>
    <w:rsid w:val="4FD77C0B"/>
    <w:rsid w:val="501047BA"/>
    <w:rsid w:val="505B5E19"/>
    <w:rsid w:val="50A40695"/>
    <w:rsid w:val="50BF39BB"/>
    <w:rsid w:val="52E86D0B"/>
    <w:rsid w:val="53017AF7"/>
    <w:rsid w:val="5380560E"/>
    <w:rsid w:val="53901E9A"/>
    <w:rsid w:val="541D4416"/>
    <w:rsid w:val="546D4478"/>
    <w:rsid w:val="549C5813"/>
    <w:rsid w:val="565C45F6"/>
    <w:rsid w:val="56645A39"/>
    <w:rsid w:val="56F349FA"/>
    <w:rsid w:val="58862E9C"/>
    <w:rsid w:val="59467E15"/>
    <w:rsid w:val="5A0424DA"/>
    <w:rsid w:val="5C1E63DB"/>
    <w:rsid w:val="5D521F6E"/>
    <w:rsid w:val="5D871634"/>
    <w:rsid w:val="5DE75582"/>
    <w:rsid w:val="5EA26F25"/>
    <w:rsid w:val="5ECD08E7"/>
    <w:rsid w:val="5FD63234"/>
    <w:rsid w:val="603040BD"/>
    <w:rsid w:val="611759A9"/>
    <w:rsid w:val="61CE3B8D"/>
    <w:rsid w:val="62E23D94"/>
    <w:rsid w:val="62EF4CFD"/>
    <w:rsid w:val="637A1801"/>
    <w:rsid w:val="64D56443"/>
    <w:rsid w:val="65351FB5"/>
    <w:rsid w:val="65872532"/>
    <w:rsid w:val="6601121B"/>
    <w:rsid w:val="6648053E"/>
    <w:rsid w:val="67BD64C0"/>
    <w:rsid w:val="67C728FD"/>
    <w:rsid w:val="68A044D6"/>
    <w:rsid w:val="692575CB"/>
    <w:rsid w:val="6B86259B"/>
    <w:rsid w:val="6B9B0F84"/>
    <w:rsid w:val="6C38758C"/>
    <w:rsid w:val="6C3F53DB"/>
    <w:rsid w:val="6E1703AC"/>
    <w:rsid w:val="6E487158"/>
    <w:rsid w:val="6E7853F6"/>
    <w:rsid w:val="6F171A16"/>
    <w:rsid w:val="6F9E54E7"/>
    <w:rsid w:val="70A020C1"/>
    <w:rsid w:val="70D83112"/>
    <w:rsid w:val="71BB46C9"/>
    <w:rsid w:val="71D757DA"/>
    <w:rsid w:val="722060D2"/>
    <w:rsid w:val="7231305C"/>
    <w:rsid w:val="724B38C0"/>
    <w:rsid w:val="73081E35"/>
    <w:rsid w:val="7386076C"/>
    <w:rsid w:val="73D3007B"/>
    <w:rsid w:val="745443C6"/>
    <w:rsid w:val="745B5755"/>
    <w:rsid w:val="747B5DF7"/>
    <w:rsid w:val="74A013B9"/>
    <w:rsid w:val="74FB17FB"/>
    <w:rsid w:val="76446CBC"/>
    <w:rsid w:val="76462FC7"/>
    <w:rsid w:val="76C22131"/>
    <w:rsid w:val="77862AE9"/>
    <w:rsid w:val="781A460E"/>
    <w:rsid w:val="79B10ED9"/>
    <w:rsid w:val="79CF0D31"/>
    <w:rsid w:val="79F46E30"/>
    <w:rsid w:val="7A2D7B93"/>
    <w:rsid w:val="7AFF53FF"/>
    <w:rsid w:val="7BF00E78"/>
    <w:rsid w:val="7C3C5105"/>
    <w:rsid w:val="7C654F0C"/>
    <w:rsid w:val="7CAD6BDB"/>
    <w:rsid w:val="7E4E1A36"/>
    <w:rsid w:val="7EEC3BA6"/>
    <w:rsid w:val="7F6045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autoRedefine/>
    <w:qFormat/>
    <w:uiPriority w:val="0"/>
    <w:pPr>
      <w:keepNext/>
      <w:spacing w:before="240" w:after="60"/>
      <w:outlineLvl w:val="0"/>
    </w:pPr>
    <w:rPr>
      <w:rFonts w:ascii="Cambria" w:hAnsi="Cambria"/>
      <w:b/>
      <w:bCs/>
      <w:kern w:val="32"/>
      <w:sz w:val="32"/>
      <w:szCs w:val="32"/>
    </w:rPr>
  </w:style>
  <w:style w:type="paragraph" w:styleId="4">
    <w:name w:val="heading 3"/>
    <w:basedOn w:val="1"/>
    <w:next w:val="1"/>
    <w:autoRedefine/>
    <w:qFormat/>
    <w:uiPriority w:val="9"/>
    <w:pPr>
      <w:keepNext/>
      <w:keepLines/>
      <w:spacing w:before="50" w:beforeLines="50" w:after="50" w:afterLines="50"/>
      <w:jc w:val="center"/>
      <w:outlineLvl w:val="2"/>
    </w:pPr>
    <w:rPr>
      <w:b/>
      <w:bCs/>
      <w:sz w:val="32"/>
      <w:szCs w:val="32"/>
      <w:lang w:val="zh-CN"/>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pPr>
      <w:spacing w:before="102"/>
      <w:ind w:left="112"/>
    </w:pPr>
    <w:rPr>
      <w:sz w:val="28"/>
      <w:szCs w:val="28"/>
    </w:rPr>
  </w:style>
  <w:style w:type="paragraph" w:styleId="5">
    <w:name w:val="Normal Indent"/>
    <w:basedOn w:val="1"/>
    <w:autoRedefine/>
    <w:unhideWhenUsed/>
    <w:qFormat/>
    <w:uiPriority w:val="99"/>
    <w:pPr>
      <w:widowControl/>
      <w:spacing w:line="590" w:lineRule="atLeast"/>
      <w:ind w:firstLine="420" w:firstLineChars="200"/>
    </w:pPr>
    <w:rPr>
      <w:rFonts w:ascii="Calibri" w:hAnsi="Calibri" w:cs="Calibri"/>
      <w:szCs w:val="21"/>
    </w:rPr>
  </w:style>
  <w:style w:type="paragraph" w:styleId="6">
    <w:name w:val="annotation text"/>
    <w:basedOn w:val="1"/>
    <w:link w:val="25"/>
    <w:autoRedefine/>
    <w:qFormat/>
    <w:uiPriority w:val="0"/>
    <w:pPr>
      <w:jc w:val="left"/>
    </w:pPr>
  </w:style>
  <w:style w:type="paragraph" w:styleId="7">
    <w:name w:val="Date"/>
    <w:basedOn w:val="1"/>
    <w:next w:val="1"/>
    <w:autoRedefine/>
    <w:qFormat/>
    <w:uiPriority w:val="0"/>
    <w:rPr>
      <w:rFonts w:ascii="黑体" w:eastAsia="黑体"/>
      <w:b/>
      <w:sz w:val="24"/>
      <w:szCs w:val="20"/>
    </w:rPr>
  </w:style>
  <w:style w:type="paragraph" w:styleId="8">
    <w:name w:val="Balloon Text"/>
    <w:basedOn w:val="1"/>
    <w:autoRedefine/>
    <w:semiHidden/>
    <w:qFormat/>
    <w:uiPriority w:val="0"/>
    <w:rPr>
      <w:sz w:val="18"/>
      <w:szCs w:val="18"/>
    </w:rPr>
  </w:style>
  <w:style w:type="paragraph" w:styleId="9">
    <w:name w:val="footer"/>
    <w:basedOn w:val="1"/>
    <w:link w:val="29"/>
    <w:autoRedefine/>
    <w:qFormat/>
    <w:uiPriority w:val="99"/>
    <w:pPr>
      <w:tabs>
        <w:tab w:val="center" w:pos="4153"/>
        <w:tab w:val="right" w:pos="8306"/>
      </w:tabs>
      <w:snapToGrid w:val="0"/>
      <w:jc w:val="left"/>
    </w:pPr>
    <w:rPr>
      <w:sz w:val="18"/>
      <w:szCs w:val="18"/>
    </w:rPr>
  </w:style>
  <w:style w:type="paragraph" w:styleId="10">
    <w:name w:val="header"/>
    <w:basedOn w:val="1"/>
    <w:autoRedefine/>
    <w:qFormat/>
    <w:uiPriority w:val="0"/>
    <w:pPr>
      <w:tabs>
        <w:tab w:val="center" w:pos="4320"/>
        <w:tab w:val="right" w:pos="8640"/>
      </w:tabs>
    </w:pPr>
  </w:style>
  <w:style w:type="paragraph" w:styleId="11">
    <w:name w:val="Normal (Web)"/>
    <w:basedOn w:val="1"/>
    <w:autoRedefine/>
    <w:qFormat/>
    <w:uiPriority w:val="0"/>
    <w:pPr>
      <w:widowControl/>
      <w:spacing w:before="144" w:after="144" w:line="432" w:lineRule="atLeast"/>
      <w:ind w:left="192" w:right="192" w:firstLine="480"/>
    </w:pPr>
    <w:rPr>
      <w:rFonts w:ascii="宋体" w:hAnsi="宋体" w:cs="宋体"/>
      <w:kern w:val="0"/>
      <w:sz w:val="24"/>
    </w:rPr>
  </w:style>
  <w:style w:type="paragraph" w:styleId="12">
    <w:name w:val="annotation subject"/>
    <w:basedOn w:val="6"/>
    <w:next w:val="6"/>
    <w:link w:val="26"/>
    <w:autoRedefine/>
    <w:qFormat/>
    <w:uiPriority w:val="0"/>
    <w:rPr>
      <w:b/>
      <w:bCs/>
    </w:rPr>
  </w:style>
  <w:style w:type="character" w:styleId="15">
    <w:name w:val="Strong"/>
    <w:basedOn w:val="14"/>
    <w:autoRedefine/>
    <w:qFormat/>
    <w:uiPriority w:val="22"/>
    <w:rPr>
      <w:b/>
      <w:bCs/>
    </w:rPr>
  </w:style>
  <w:style w:type="character" w:styleId="16">
    <w:name w:val="page number"/>
    <w:basedOn w:val="14"/>
    <w:autoRedefine/>
    <w:qFormat/>
    <w:uiPriority w:val="0"/>
  </w:style>
  <w:style w:type="character" w:styleId="17">
    <w:name w:val="Hyperlink"/>
    <w:autoRedefine/>
    <w:qFormat/>
    <w:uiPriority w:val="0"/>
    <w:rPr>
      <w:color w:val="0000FF"/>
      <w:u w:val="single"/>
    </w:rPr>
  </w:style>
  <w:style w:type="character" w:styleId="18">
    <w:name w:val="annotation reference"/>
    <w:autoRedefine/>
    <w:qFormat/>
    <w:uiPriority w:val="0"/>
    <w:rPr>
      <w:sz w:val="21"/>
      <w:szCs w:val="21"/>
    </w:rPr>
  </w:style>
  <w:style w:type="paragraph" w:customStyle="1" w:styleId="19">
    <w:name w:val="Char Char1 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
    <w:name w:val="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
    <w:name w:val="Char Char Char Char Char Char Char Char Char Char Char Char Char Char Char Char Char Char Char Char Char Char Char Char Char Char Char Char Char 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2">
    <w:name w:val="Default"/>
    <w:autoRedefine/>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3">
    <w:name w:val="Char Char Char Char Char Char Char Char Char Char Char Char Char Char Char Char Char Char Char Char Char Char Char Char Char Char Char Char Char Char Char Char Char1"/>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4">
    <w:name w:val="Char"/>
    <w:basedOn w:val="1"/>
    <w:autoRedefine/>
    <w:qFormat/>
    <w:uiPriority w:val="0"/>
  </w:style>
  <w:style w:type="character" w:customStyle="1" w:styleId="25">
    <w:name w:val="批注文字 Char"/>
    <w:link w:val="6"/>
    <w:autoRedefine/>
    <w:qFormat/>
    <w:uiPriority w:val="0"/>
    <w:rPr>
      <w:kern w:val="2"/>
      <w:sz w:val="21"/>
      <w:szCs w:val="24"/>
    </w:rPr>
  </w:style>
  <w:style w:type="character" w:customStyle="1" w:styleId="26">
    <w:name w:val="批注主题 Char"/>
    <w:link w:val="12"/>
    <w:autoRedefine/>
    <w:qFormat/>
    <w:uiPriority w:val="0"/>
    <w:rPr>
      <w:b/>
      <w:bCs/>
      <w:kern w:val="2"/>
      <w:sz w:val="21"/>
      <w:szCs w:val="24"/>
    </w:rPr>
  </w:style>
  <w:style w:type="paragraph" w:styleId="27">
    <w:name w:val="List Paragraph"/>
    <w:basedOn w:val="1"/>
    <w:autoRedefine/>
    <w:qFormat/>
    <w:uiPriority w:val="99"/>
    <w:pPr>
      <w:ind w:firstLine="420" w:firstLineChars="200"/>
    </w:pPr>
  </w:style>
  <w:style w:type="character" w:customStyle="1" w:styleId="28">
    <w:name w:val="标题 1 Char"/>
    <w:link w:val="3"/>
    <w:autoRedefine/>
    <w:qFormat/>
    <w:uiPriority w:val="0"/>
    <w:rPr>
      <w:rFonts w:ascii="Cambria" w:hAnsi="Cambria" w:eastAsia="宋体" w:cs="Times New Roman"/>
      <w:b/>
      <w:bCs/>
      <w:kern w:val="32"/>
      <w:sz w:val="32"/>
      <w:szCs w:val="32"/>
      <w:lang w:val="en-US"/>
    </w:rPr>
  </w:style>
  <w:style w:type="character" w:customStyle="1" w:styleId="29">
    <w:name w:val="页脚 Char"/>
    <w:basedOn w:val="14"/>
    <w:link w:val="9"/>
    <w:autoRedefine/>
    <w:qFormat/>
    <w:uiPriority w:val="99"/>
    <w:rPr>
      <w:kern w:val="2"/>
      <w:sz w:val="18"/>
      <w:szCs w:val="18"/>
    </w:rPr>
  </w:style>
  <w:style w:type="paragraph" w:styleId="30">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修订1"/>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5F1716-EA01-4BDF-BE41-3302029E9CEB}">
  <ds:schemaRefs/>
</ds:datastoreItem>
</file>

<file path=docProps/app.xml><?xml version="1.0" encoding="utf-8"?>
<Properties xmlns="http://schemas.openxmlformats.org/officeDocument/2006/extended-properties" xmlns:vt="http://schemas.openxmlformats.org/officeDocument/2006/docPropsVTypes">
  <Template>Normal</Template>
  <Pages>5</Pages>
  <Words>557</Words>
  <Characters>3180</Characters>
  <Lines>26</Lines>
  <Paragraphs>7</Paragraphs>
  <TotalTime>7</TotalTime>
  <ScaleCrop>false</ScaleCrop>
  <LinksUpToDate>false</LinksUpToDate>
  <CharactersWithSpaces>3730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2023-10-24T09:33:00Z</dcterms:created>
  <cp:lastPrinted>2023-12-26T02:13:00Z</cp:lastPrinted>
  <dcterms:modified xsi:type="dcterms:W3CDTF">2024-01-26T09:29:54Z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F088D33936A146E6AC25BE778DF736D3_13</vt:lpwstr>
  </property>
</Properties>
</file>