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312" w:lineRule="auto"/>
        <w:rPr>
          <w:rFonts w:hint="default" w:ascii="宋体" w:hAnsi="宋体" w:eastAsiaTheme="minorEastAsia"/>
          <w:b/>
          <w:sz w:val="24"/>
          <w:lang w:val="en-US" w:eastAsia="zh-CN"/>
        </w:rPr>
      </w:pPr>
      <w:r>
        <w:rPr>
          <w:rFonts w:hint="eastAsia" w:ascii="宋体" w:hAnsi="宋体"/>
          <w:b/>
          <w:sz w:val="24"/>
        </w:rPr>
        <w:t>股票简称：宁沪高速          股票代码：600377           编号：临2023-0</w:t>
      </w:r>
      <w:r>
        <w:rPr>
          <w:rFonts w:hint="eastAsia" w:ascii="宋体" w:hAnsi="宋体"/>
          <w:b/>
          <w:sz w:val="24"/>
          <w:lang w:val="en-US" w:eastAsia="zh-CN"/>
        </w:rPr>
        <w:t>52</w:t>
      </w:r>
    </w:p>
    <w:p>
      <w:pPr>
        <w:keepNext w:val="0"/>
        <w:keepLines w:val="0"/>
        <w:pageBreakBefore w:val="0"/>
        <w:widowControl w:val="0"/>
        <w:kinsoku/>
        <w:wordWrap/>
        <w:overflowPunct/>
        <w:topLinePunct w:val="0"/>
        <w:bidi w:val="0"/>
        <w:adjustRightInd w:val="0"/>
        <w:snapToGrid w:val="0"/>
        <w:spacing w:line="360" w:lineRule="auto"/>
        <w:textAlignment w:val="auto"/>
        <w:rPr>
          <w:rFonts w:hint="eastAsia" w:ascii="宋体" w:hAnsi="宋体"/>
          <w:b/>
          <w:sz w:val="24"/>
        </w:rPr>
      </w:pPr>
    </w:p>
    <w:p>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b/>
          <w:sz w:val="28"/>
          <w:szCs w:val="28"/>
        </w:rPr>
      </w:pPr>
      <w:r>
        <w:rPr>
          <w:rFonts w:hint="eastAsia" w:ascii="宋体" w:hAnsi="宋体"/>
          <w:b/>
          <w:sz w:val="28"/>
          <w:szCs w:val="28"/>
        </w:rPr>
        <w:t>江苏宁沪高速公路股份有限公司</w:t>
      </w:r>
    </w:p>
    <w:p>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b/>
          <w:bCs/>
          <w:sz w:val="28"/>
          <w:szCs w:val="28"/>
        </w:rPr>
      </w:pPr>
      <w:r>
        <w:rPr>
          <w:rFonts w:hint="eastAsia" w:ascii="宋体" w:hAnsi="宋体"/>
          <w:b/>
          <w:sz w:val="28"/>
          <w:szCs w:val="28"/>
        </w:rPr>
        <w:t>关于投资无锡至太仓高速公路无锡至苏州段项目的</w:t>
      </w:r>
      <w:r>
        <w:rPr>
          <w:rFonts w:hint="eastAsia" w:ascii="宋体" w:hAnsi="宋体"/>
          <w:b/>
          <w:bCs/>
          <w:sz w:val="28"/>
          <w:szCs w:val="28"/>
        </w:rPr>
        <w:t>公告</w:t>
      </w:r>
    </w:p>
    <w:p>
      <w:pPr>
        <w:pStyle w:val="25"/>
        <w:keepNext w:val="0"/>
        <w:keepLines w:val="0"/>
        <w:pageBreakBefore w:val="0"/>
        <w:widowControl w:val="0"/>
        <w:kinsoku/>
        <w:wordWrap/>
        <w:overflowPunct/>
        <w:topLinePunct w:val="0"/>
        <w:bidi w:val="0"/>
        <w:adjustRightInd w:val="0"/>
        <w:snapToGrid w:val="0"/>
        <w:spacing w:line="360" w:lineRule="auto"/>
        <w:textAlignment w:val="auto"/>
        <w:rPr>
          <w:rFonts w:hint="eastAsia" w:ascii="仿宋_GB2312" w:eastAsia="仿宋_GB2312"/>
        </w:rPr>
      </w:pPr>
      <w:r>
        <w:rPr>
          <w:rFonts w:hint="eastAsia" w:ascii="仿宋_GB2312" w:eastAsia="仿宋_GB2312"/>
        </w:rPr>
        <w:pict>
          <v:rect id="_x0000_s2050" o:spid="_x0000_s2050" o:spt="1" style="position:absolute;left:0pt;margin-left:0pt;margin-top:11.6pt;height:46.8pt;width:451.5pt;z-index:251659264;mso-width-relative:page;mso-height-relative:page;" coordsize="21600,21600">
            <v:path/>
            <v:fill focussize="0,0"/>
            <v:stroke/>
            <v:imagedata o:title=""/>
            <o:lock v:ext="edit"/>
            <v:textbox>
              <w:txbxContent>
                <w:p>
                  <w:pPr>
                    <w:rPr>
                      <w:rFonts w:ascii="宋体" w:hAnsi="宋体"/>
                      <w:b/>
                      <w:sz w:val="24"/>
                    </w:rPr>
                  </w:pPr>
                  <w:r>
                    <w:rPr>
                      <w:rFonts w:hint="eastAsia" w:ascii="宋体" w:hAnsi="宋体"/>
                      <w:b/>
                      <w:sz w:val="24"/>
                    </w:rPr>
                    <w:t>本公司董事会及全体董事保证本公告内容不存在任何虚假记载、误导性陈述或者重大遗漏，并对其内容的真实性、准确性和完整性承担法律责任。</w:t>
                  </w:r>
                </w:p>
              </w:txbxContent>
            </v:textbox>
          </v:rect>
        </w:pict>
      </w:r>
    </w:p>
    <w:p>
      <w:pPr>
        <w:pStyle w:val="25"/>
        <w:keepNext w:val="0"/>
        <w:keepLines w:val="0"/>
        <w:pageBreakBefore w:val="0"/>
        <w:widowControl w:val="0"/>
        <w:kinsoku/>
        <w:wordWrap/>
        <w:overflowPunct/>
        <w:topLinePunct w:val="0"/>
        <w:bidi w:val="0"/>
        <w:adjustRightInd w:val="0"/>
        <w:snapToGrid w:val="0"/>
        <w:spacing w:line="360" w:lineRule="auto"/>
        <w:textAlignment w:val="auto"/>
        <w:rPr>
          <w:rFonts w:hint="eastAsia" w:ascii="仿宋_GB2312" w:eastAsia="仿宋_GB2312"/>
        </w:rPr>
      </w:pPr>
    </w:p>
    <w:p>
      <w:pPr>
        <w:keepNext w:val="0"/>
        <w:keepLines w:val="0"/>
        <w:pageBreakBefore w:val="0"/>
        <w:widowControl w:val="0"/>
        <w:kinsoku/>
        <w:wordWrap/>
        <w:overflowPunct/>
        <w:topLinePunct w:val="0"/>
        <w:bidi w:val="0"/>
        <w:adjustRightInd w:val="0"/>
        <w:snapToGrid w:val="0"/>
        <w:spacing w:line="360" w:lineRule="auto"/>
        <w:ind w:firstLine="0" w:firstLineChars="0"/>
        <w:textAlignment w:val="auto"/>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bidi w:val="0"/>
        <w:adjustRightInd w:val="0"/>
        <w:snapToGrid w:val="0"/>
        <w:spacing w:line="360" w:lineRule="auto"/>
        <w:ind w:firstLine="0" w:firstLineChars="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重要内容提示：</w:t>
      </w:r>
    </w:p>
    <w:p>
      <w:pPr>
        <w:pStyle w:val="19"/>
        <w:keepNext w:val="0"/>
        <w:keepLines w:val="0"/>
        <w:pageBreakBefore w:val="0"/>
        <w:widowControl w:val="0"/>
        <w:numPr>
          <w:ilvl w:val="-1"/>
          <w:numId w:val="0"/>
        </w:numPr>
        <w:kinsoku/>
        <w:wordWrap/>
        <w:overflowPunct/>
        <w:topLinePunct w:val="0"/>
        <w:bidi w:val="0"/>
        <w:adjustRightInd w:val="0"/>
        <w:snapToGrid w:val="0"/>
        <w:spacing w:line="360" w:lineRule="auto"/>
        <w:ind w:left="0" w:firstLine="480" w:firstLineChars="20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1、</w:t>
      </w:r>
      <w:r>
        <w:rPr>
          <w:rFonts w:hint="eastAsia" w:asciiTheme="minorEastAsia" w:hAnsiTheme="minorEastAsia" w:eastAsiaTheme="minorEastAsia" w:cstheme="minorEastAsia"/>
          <w:color w:val="000000"/>
          <w:sz w:val="24"/>
          <w:szCs w:val="24"/>
        </w:rPr>
        <w:t>投资标的名称：无锡至太仓高速公路无锡至苏州段（以下简称“锡太项目”）</w:t>
      </w:r>
    </w:p>
    <w:p>
      <w:pPr>
        <w:pStyle w:val="19"/>
        <w:keepNext w:val="0"/>
        <w:keepLines w:val="0"/>
        <w:pageBreakBefore w:val="0"/>
        <w:widowControl w:val="0"/>
        <w:numPr>
          <w:ilvl w:val="-1"/>
          <w:numId w:val="0"/>
        </w:numPr>
        <w:kinsoku/>
        <w:wordWrap/>
        <w:overflowPunct/>
        <w:topLinePunct w:val="0"/>
        <w:bidi w:val="0"/>
        <w:adjustRightInd w:val="0"/>
        <w:snapToGrid w:val="0"/>
        <w:spacing w:line="360" w:lineRule="auto"/>
        <w:ind w:left="0" w:firstLine="480" w:firstLineChars="20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2、</w:t>
      </w:r>
      <w:r>
        <w:rPr>
          <w:rFonts w:hint="eastAsia" w:asciiTheme="minorEastAsia" w:hAnsiTheme="minorEastAsia" w:eastAsiaTheme="minorEastAsia" w:cstheme="minorEastAsia"/>
          <w:color w:val="000000"/>
          <w:sz w:val="24"/>
          <w:szCs w:val="24"/>
        </w:rPr>
        <w:t>投资金额：江苏宁沪高速公路股份有限公司（以下简称“公司”）将以自有资金出资资本金人民币32.5亿元投资锡太项目。</w:t>
      </w:r>
    </w:p>
    <w:p>
      <w:pPr>
        <w:pStyle w:val="19"/>
        <w:keepNext w:val="0"/>
        <w:keepLines w:val="0"/>
        <w:pageBreakBefore w:val="0"/>
        <w:widowControl w:val="0"/>
        <w:numPr>
          <w:ilvl w:val="-1"/>
          <w:numId w:val="0"/>
        </w:numPr>
        <w:kinsoku/>
        <w:wordWrap/>
        <w:overflowPunct/>
        <w:topLinePunct w:val="0"/>
        <w:bidi w:val="0"/>
        <w:adjustRightInd w:val="0"/>
        <w:snapToGrid w:val="0"/>
        <w:spacing w:line="360" w:lineRule="auto"/>
        <w:ind w:left="0" w:firstLine="480"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color w:val="000000"/>
          <w:sz w:val="24"/>
          <w:szCs w:val="24"/>
          <w:lang w:val="en-US" w:eastAsia="zh-CN"/>
        </w:rPr>
        <w:t>3、</w:t>
      </w:r>
      <w:r>
        <w:rPr>
          <w:rFonts w:hint="eastAsia" w:asciiTheme="minorEastAsia" w:hAnsiTheme="minorEastAsia" w:eastAsiaTheme="minorEastAsia" w:cstheme="minorEastAsia"/>
          <w:color w:val="000000"/>
          <w:sz w:val="24"/>
          <w:szCs w:val="24"/>
        </w:rPr>
        <w:t>相关风险提示：可能存在交通量不及预期、国家收费公路政策未按假定调整、项目融资受限及利率调整等方面的风险，公司将根据项目进展做好相关风险的控制。</w:t>
      </w:r>
    </w:p>
    <w:p>
      <w:pPr>
        <w:keepNext w:val="0"/>
        <w:keepLines w:val="0"/>
        <w:pageBreakBefore w:val="0"/>
        <w:widowControl w:val="0"/>
        <w:tabs>
          <w:tab w:val="left" w:pos="90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bCs/>
          <w:sz w:val="24"/>
          <w:szCs w:val="24"/>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一、对外投资概述</w:t>
      </w:r>
    </w:p>
    <w:p>
      <w:pPr>
        <w:pStyle w:val="11"/>
        <w:keepNext w:val="0"/>
        <w:keepLines w:val="0"/>
        <w:pageBreakBefore w:val="0"/>
        <w:widowControl w:val="0"/>
        <w:tabs>
          <w:tab w:val="left" w:pos="1260"/>
        </w:tabs>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rPr>
          <w:rFonts w:hint="eastAsia" w:ascii="宋体" w:hAnsi="宋体" w:eastAsia="宋体"/>
          <w:color w:val="000000"/>
          <w:sz w:val="24"/>
          <w:szCs w:val="24"/>
        </w:rPr>
      </w:pPr>
      <w:r>
        <w:rPr>
          <w:rFonts w:hint="eastAsia" w:ascii="宋体" w:eastAsia="宋体"/>
          <w:color w:val="000000"/>
          <w:sz w:val="24"/>
          <w:szCs w:val="24"/>
        </w:rPr>
        <w:t>（一）</w:t>
      </w:r>
      <w:r>
        <w:rPr>
          <w:rFonts w:hint="eastAsia" w:ascii="宋体" w:hAnsi="宋体" w:eastAsia="宋体"/>
          <w:color w:val="000000"/>
          <w:sz w:val="24"/>
          <w:szCs w:val="24"/>
        </w:rPr>
        <w:t>对外投资的基本情况</w:t>
      </w:r>
    </w:p>
    <w:p>
      <w:pPr>
        <w:pStyle w:val="11"/>
        <w:keepNext w:val="0"/>
        <w:keepLines w:val="0"/>
        <w:pageBreakBefore w:val="0"/>
        <w:tabs>
          <w:tab w:val="left" w:pos="1260"/>
        </w:tabs>
        <w:kinsoku/>
        <w:wordWrap/>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为聚焦主责主业，缓解沪宁高速公路无锡-苏州段交通压力，消除区域平行道路交通分流影响，进一步巩固在苏南路网中主导地位，公司拟以自有资金出资资本金32.5亿元投资建设锡太项目。无锡市投资主体将出资资本金23.5235亿元；苏州市投资主体将出资资本金8.9765亿元。</w:t>
      </w:r>
    </w:p>
    <w:p>
      <w:pPr>
        <w:pStyle w:val="11"/>
        <w:keepNext w:val="0"/>
        <w:keepLines w:val="0"/>
        <w:pageBreakBefore w:val="0"/>
        <w:tabs>
          <w:tab w:val="left" w:pos="1260"/>
        </w:tabs>
        <w:kinsoku/>
        <w:wordWrap/>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二）公司于2023年12月26日召开的第十届董事会第二十三次会议审议通过了《关于拟投资建设无锡至太仓高速公路无锡至苏州段项目的议案》。以上交易不需经过股东大会批准，也不需经过国家有关部门的批准即可实施。</w:t>
      </w:r>
    </w:p>
    <w:p>
      <w:pPr>
        <w:pStyle w:val="11"/>
        <w:keepNext w:val="0"/>
        <w:keepLines w:val="0"/>
        <w:pageBreakBefore w:val="0"/>
        <w:widowControl w:val="0"/>
        <w:tabs>
          <w:tab w:val="left" w:pos="1260"/>
        </w:tabs>
        <w:kinsoku/>
        <w:wordWrap/>
        <w:overflowPunct/>
        <w:topLinePunct w:val="0"/>
        <w:bidi w:val="0"/>
        <w:adjustRightInd w:val="0"/>
        <w:snapToGrid w:val="0"/>
        <w:spacing w:before="0" w:beforeAutospacing="0" w:after="0" w:afterAutospacing="0" w:line="360" w:lineRule="auto"/>
        <w:ind w:firstLine="480" w:firstLineChars="200"/>
        <w:jc w:val="both"/>
        <w:textAlignment w:val="auto"/>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（三）以上交易不属于关联交易，也不属于重大资产重组事项。</w:t>
      </w:r>
    </w:p>
    <w:p>
      <w:pPr>
        <w:pStyle w:val="11"/>
        <w:keepNext w:val="0"/>
        <w:keepLines w:val="0"/>
        <w:pageBreakBefore w:val="0"/>
        <w:widowControl w:val="0"/>
        <w:tabs>
          <w:tab w:val="left" w:pos="1260"/>
        </w:tabs>
        <w:kinsoku/>
        <w:wordWrap/>
        <w:overflowPunct/>
        <w:topLinePunct w:val="0"/>
        <w:bidi w:val="0"/>
        <w:adjustRightInd w:val="0"/>
        <w:snapToGrid w:val="0"/>
        <w:spacing w:before="0" w:beforeAutospacing="0" w:after="0" w:afterAutospacing="0" w:line="360" w:lineRule="auto"/>
        <w:ind w:firstLine="480" w:firstLineChars="200"/>
        <w:jc w:val="both"/>
        <w:textAlignment w:val="auto"/>
        <w:rPr>
          <w:rFonts w:hint="eastAsia" w:ascii="宋体" w:hAnsi="宋体" w:eastAsia="宋体" w:cs="宋体"/>
          <w:color w:val="000000"/>
          <w:kern w:val="2"/>
          <w:sz w:val="24"/>
          <w:szCs w:val="24"/>
        </w:rPr>
      </w:pPr>
    </w:p>
    <w:p>
      <w:pPr>
        <w:keepNext w:val="0"/>
        <w:keepLines w:val="0"/>
        <w:pageBreakBefore w:val="0"/>
        <w:kinsoku/>
        <w:wordWrap/>
        <w:overflowPunct/>
        <w:topLinePunct w:val="0"/>
        <w:autoSpaceDE w:val="0"/>
        <w:autoSpaceDN w:val="0"/>
        <w:bidi w:val="0"/>
        <w:adjustRightInd w:val="0"/>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二、投资协议主体的基本情况</w:t>
      </w:r>
    </w:p>
    <w:p>
      <w:pPr>
        <w:keepNext w:val="0"/>
        <w:keepLines w:val="0"/>
        <w:pageBreakBefore w:val="0"/>
        <w:widowControl/>
        <w:kinsoku/>
        <w:wordWrap/>
        <w:overflowPunct/>
        <w:topLinePunct w:val="0"/>
        <w:bidi w:val="0"/>
        <w:adjustRightInd w:val="0"/>
        <w:snapToGrid w:val="0"/>
        <w:spacing w:before="156" w:beforeLines="50" w:after="156" w:afterLines="50"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（一）江苏宁沪高速公路股份有限公司</w:t>
      </w:r>
    </w:p>
    <w:tbl>
      <w:tblPr>
        <w:tblStyle w:val="13"/>
        <w:tblW w:w="888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住所：</w:t>
            </w:r>
          </w:p>
        </w:tc>
        <w:tc>
          <w:tcPr>
            <w:tcW w:w="5453"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中国江苏南京市仙林大道6号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企业类型：</w:t>
            </w:r>
          </w:p>
        </w:tc>
        <w:tc>
          <w:tcPr>
            <w:tcW w:w="5453"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法定代表人：</w:t>
            </w:r>
          </w:p>
        </w:tc>
        <w:tc>
          <w:tcPr>
            <w:tcW w:w="5453"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陈云江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注册资本：</w:t>
            </w:r>
          </w:p>
        </w:tc>
        <w:tc>
          <w:tcPr>
            <w:tcW w:w="5453"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人民币5,037,747.5千元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主营业务：</w:t>
            </w:r>
          </w:p>
        </w:tc>
        <w:tc>
          <w:tcPr>
            <w:tcW w:w="5453"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江苏省境内收费公路及高速公路建设、管理、养护及收费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最近一个企业会计期末的总资产（202</w:t>
            </w:r>
            <w:r>
              <w:rPr>
                <w:rFonts w:ascii="宋体" w:hAnsi="宋体" w:eastAsia="宋体" w:cs="宋体"/>
                <w:sz w:val="24"/>
                <w:szCs w:val="24"/>
              </w:rPr>
              <w:t>2</w:t>
            </w:r>
            <w:r>
              <w:rPr>
                <w:rFonts w:hint="eastAsia" w:ascii="宋体" w:hAnsi="宋体" w:eastAsia="宋体" w:cs="宋体"/>
                <w:sz w:val="24"/>
                <w:szCs w:val="24"/>
              </w:rPr>
              <w:t>年度）：</w:t>
            </w:r>
          </w:p>
        </w:tc>
        <w:tc>
          <w:tcPr>
            <w:tcW w:w="5453"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ascii="宋体" w:hAnsi="宋体" w:eastAsia="宋体" w:cs="宋体"/>
                <w:sz w:val="24"/>
                <w:szCs w:val="24"/>
              </w:rPr>
              <w:t>人民币78,458,345千元</w:t>
            </w:r>
          </w:p>
          <w:p>
            <w:pPr>
              <w:keepNext w:val="0"/>
              <w:keepLines w:val="0"/>
              <w:pageBreakBefore w:val="0"/>
              <w:widowControl/>
              <w:kinsoku/>
              <w:wordWrap/>
              <w:overflowPunct/>
              <w:topLinePunct w:val="0"/>
              <w:bidi w:val="0"/>
              <w:spacing w:before="120" w:after="120" w:line="360" w:lineRule="auto"/>
              <w:textAlignment w:val="auto"/>
              <w:rPr>
                <w:rFonts w:hint="eastAsia" w:ascii="宋体" w:hAnsi="宋体" w:eastAsia="宋体" w:cs="宋体"/>
                <w:kern w:val="0"/>
                <w:sz w:val="24"/>
                <w:szCs w:val="24"/>
              </w:rPr>
            </w:pPr>
            <w:r>
              <w:rPr>
                <w:rFonts w:hint="eastAsia" w:ascii="宋体" w:hAnsi="宋体" w:eastAsia="宋体" w:cs="宋体"/>
                <w:sz w:val="24"/>
                <w:szCs w:val="24"/>
              </w:rPr>
              <w:t>（根据中华人民共和国企业会计标准）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最近一个企业会计期末的净资产（202</w:t>
            </w:r>
            <w:r>
              <w:rPr>
                <w:rFonts w:ascii="宋体" w:hAnsi="宋体" w:eastAsia="宋体" w:cs="宋体"/>
                <w:sz w:val="24"/>
                <w:szCs w:val="24"/>
              </w:rPr>
              <w:t>2</w:t>
            </w:r>
            <w:r>
              <w:rPr>
                <w:rFonts w:hint="eastAsia" w:ascii="宋体" w:hAnsi="宋体" w:eastAsia="宋体" w:cs="宋体"/>
                <w:sz w:val="24"/>
                <w:szCs w:val="24"/>
              </w:rPr>
              <w:t>年度）：</w:t>
            </w:r>
          </w:p>
        </w:tc>
        <w:tc>
          <w:tcPr>
            <w:tcW w:w="5453" w:type="dxa"/>
          </w:tcPr>
          <w:p>
            <w:pPr>
              <w:keepNext w:val="0"/>
              <w:keepLines w:val="0"/>
              <w:pageBreakBefore w:val="0"/>
              <w:widowControl/>
              <w:kinsoku/>
              <w:wordWrap/>
              <w:overflowPunct/>
              <w:topLinePunct w:val="0"/>
              <w:bidi w:val="0"/>
              <w:adjustRightInd w:val="0"/>
              <w:snapToGrid w:val="0"/>
              <w:spacing w:before="120" w:after="240" w:line="360" w:lineRule="auto"/>
              <w:jc w:val="left"/>
              <w:textAlignment w:val="auto"/>
              <w:rPr>
                <w:rFonts w:hint="eastAsia" w:ascii="宋体" w:hAnsi="宋体" w:eastAsia="宋体" w:cs="宋体"/>
                <w:kern w:val="0"/>
                <w:sz w:val="24"/>
                <w:szCs w:val="24"/>
                <w:lang w:val="ru-RU"/>
              </w:rPr>
            </w:pPr>
            <w:r>
              <w:rPr>
                <w:rFonts w:hint="eastAsia" w:ascii="宋体" w:hAnsi="宋体" w:eastAsia="宋体" w:cs="宋体"/>
                <w:kern w:val="0"/>
                <w:sz w:val="24"/>
                <w:szCs w:val="24"/>
                <w:lang w:val="ru-RU"/>
              </w:rPr>
              <w:t>人民币37,950,332千元</w:t>
            </w:r>
          </w:p>
          <w:p>
            <w:pPr>
              <w:keepNext w:val="0"/>
              <w:keepLines w:val="0"/>
              <w:pageBreakBefore w:val="0"/>
              <w:widowControl/>
              <w:kinsoku/>
              <w:wordWrap/>
              <w:overflowPunct/>
              <w:topLinePunct w:val="0"/>
              <w:bidi w:val="0"/>
              <w:spacing w:before="120" w:after="120" w:line="360" w:lineRule="auto"/>
              <w:textAlignment w:val="auto"/>
              <w:rPr>
                <w:rFonts w:hint="eastAsia" w:ascii="宋体" w:hAnsi="宋体" w:eastAsia="宋体" w:cs="宋体"/>
                <w:kern w:val="0"/>
                <w:sz w:val="24"/>
                <w:szCs w:val="24"/>
              </w:rPr>
            </w:pPr>
            <w:r>
              <w:rPr>
                <w:rFonts w:hint="eastAsia" w:ascii="宋体" w:hAnsi="宋体" w:eastAsia="宋体" w:cs="宋体"/>
                <w:sz w:val="24"/>
                <w:szCs w:val="24"/>
              </w:rPr>
              <w:t>（根据中华人民共和国企业会计标准）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最近一个企业会计期末的营业收入（202</w:t>
            </w:r>
            <w:r>
              <w:rPr>
                <w:rFonts w:ascii="宋体" w:hAnsi="宋体" w:eastAsia="宋体" w:cs="宋体"/>
                <w:sz w:val="24"/>
                <w:szCs w:val="24"/>
              </w:rPr>
              <w:t>2</w:t>
            </w:r>
            <w:r>
              <w:rPr>
                <w:rFonts w:hint="eastAsia" w:ascii="宋体" w:hAnsi="宋体" w:eastAsia="宋体" w:cs="宋体"/>
                <w:sz w:val="24"/>
                <w:szCs w:val="24"/>
              </w:rPr>
              <w:t>年度）：</w:t>
            </w:r>
          </w:p>
        </w:tc>
        <w:tc>
          <w:tcPr>
            <w:tcW w:w="5453"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ascii="宋体" w:hAnsi="宋体" w:eastAsia="宋体" w:cs="宋体"/>
                <w:sz w:val="24"/>
                <w:szCs w:val="24"/>
              </w:rPr>
              <w:t>人民币13,255,603</w:t>
            </w:r>
            <w:r>
              <w:rPr>
                <w:rFonts w:hint="eastAsia" w:ascii="宋体" w:hAnsi="宋体" w:eastAsia="宋体" w:cs="宋体"/>
                <w:sz w:val="24"/>
                <w:szCs w:val="24"/>
              </w:rPr>
              <w:t>千元</w:t>
            </w:r>
          </w:p>
          <w:p>
            <w:pPr>
              <w:keepNext w:val="0"/>
              <w:keepLines w:val="0"/>
              <w:pageBreakBefore w:val="0"/>
              <w:widowControl/>
              <w:kinsoku/>
              <w:wordWrap/>
              <w:overflowPunct/>
              <w:topLinePunct w:val="0"/>
              <w:bidi w:val="0"/>
              <w:spacing w:before="120" w:after="120" w:line="360" w:lineRule="auto"/>
              <w:textAlignment w:val="auto"/>
              <w:rPr>
                <w:rFonts w:hint="eastAsia" w:ascii="宋体" w:hAnsi="宋体" w:eastAsia="宋体" w:cs="宋体"/>
                <w:kern w:val="0"/>
                <w:sz w:val="24"/>
                <w:szCs w:val="24"/>
              </w:rPr>
            </w:pPr>
            <w:r>
              <w:rPr>
                <w:rFonts w:hint="eastAsia" w:ascii="宋体" w:hAnsi="宋体" w:eastAsia="宋体" w:cs="宋体"/>
                <w:sz w:val="24"/>
                <w:szCs w:val="24"/>
              </w:rPr>
              <w:t>（根据中华人民共和国企业会计标准）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hint="eastAsia" w:ascii="宋体" w:hAnsi="宋体" w:eastAsia="宋体" w:cs="宋体"/>
                <w:sz w:val="24"/>
                <w:szCs w:val="24"/>
              </w:rPr>
              <w:t>最近一个企业会计期末的净利润（202</w:t>
            </w:r>
            <w:r>
              <w:rPr>
                <w:rFonts w:ascii="宋体" w:hAnsi="宋体" w:eastAsia="宋体" w:cs="宋体"/>
                <w:sz w:val="24"/>
                <w:szCs w:val="24"/>
              </w:rPr>
              <w:t>2</w:t>
            </w:r>
            <w:r>
              <w:rPr>
                <w:rFonts w:hint="eastAsia" w:ascii="宋体" w:hAnsi="宋体" w:eastAsia="宋体" w:cs="宋体"/>
                <w:sz w:val="24"/>
                <w:szCs w:val="24"/>
              </w:rPr>
              <w:t>年度）：</w:t>
            </w:r>
          </w:p>
        </w:tc>
        <w:tc>
          <w:tcPr>
            <w:tcW w:w="5453" w:type="dxa"/>
          </w:tcPr>
          <w:p>
            <w:pPr>
              <w:keepNext w:val="0"/>
              <w:keepLines w:val="0"/>
              <w:pageBreakBefore w:val="0"/>
              <w:kinsoku/>
              <w:wordWrap/>
              <w:overflowPunct/>
              <w:topLinePunct w:val="0"/>
              <w:bidi w:val="0"/>
              <w:adjustRightInd w:val="0"/>
              <w:spacing w:line="360" w:lineRule="auto"/>
              <w:jc w:val="left"/>
              <w:textAlignment w:val="auto"/>
              <w:rPr>
                <w:rFonts w:ascii="宋体" w:hAnsi="宋体" w:eastAsia="宋体" w:cs="宋体"/>
                <w:sz w:val="24"/>
                <w:szCs w:val="24"/>
              </w:rPr>
            </w:pPr>
            <w:r>
              <w:rPr>
                <w:rFonts w:ascii="宋体" w:hAnsi="宋体" w:eastAsia="宋体" w:cs="宋体"/>
                <w:sz w:val="24"/>
                <w:szCs w:val="24"/>
              </w:rPr>
              <w:t>人民币3,747,989千元</w:t>
            </w:r>
          </w:p>
          <w:p>
            <w:pPr>
              <w:keepNext w:val="0"/>
              <w:keepLines w:val="0"/>
              <w:pageBreakBefore w:val="0"/>
              <w:widowControl/>
              <w:kinsoku/>
              <w:wordWrap/>
              <w:overflowPunct/>
              <w:topLinePunct w:val="0"/>
              <w:bidi w:val="0"/>
              <w:spacing w:before="120" w:after="120" w:line="360" w:lineRule="auto"/>
              <w:textAlignment w:val="auto"/>
              <w:rPr>
                <w:rFonts w:hint="eastAsia" w:ascii="宋体" w:hAnsi="宋体" w:eastAsia="宋体" w:cs="宋体"/>
                <w:kern w:val="0"/>
                <w:sz w:val="24"/>
                <w:szCs w:val="24"/>
              </w:rPr>
            </w:pPr>
            <w:r>
              <w:rPr>
                <w:rFonts w:hint="eastAsia" w:ascii="宋体" w:hAnsi="宋体" w:eastAsia="宋体" w:cs="宋体"/>
                <w:sz w:val="24"/>
                <w:szCs w:val="24"/>
              </w:rPr>
              <w:t>（根据中华人民共和国企业会计标准）</w:t>
            </w:r>
          </w:p>
        </w:tc>
      </w:tr>
    </w:tbl>
    <w:p>
      <w:pPr>
        <w:keepNext w:val="0"/>
        <w:keepLines w:val="0"/>
        <w:pageBreakBefore w:val="0"/>
        <w:kinsoku/>
        <w:wordWrap/>
        <w:overflowPunct/>
        <w:topLinePunct w:val="0"/>
        <w:bidi w:val="0"/>
        <w:adjustRightInd w:val="0"/>
        <w:spacing w:line="360" w:lineRule="auto"/>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公司2023年9月30日资产总额人民币7,947,021.01万元，净资产人民币4,039,847.64万元；2023年1-9月营业收入人民币1,160,911.31万元，净利润人民币421,663.38万元。</w:t>
      </w:r>
    </w:p>
    <w:p>
      <w:pPr>
        <w:keepNext w:val="0"/>
        <w:keepLines w:val="0"/>
        <w:pageBreakBefore w:val="0"/>
        <w:numPr>
          <w:ilvl w:val="0"/>
          <w:numId w:val="2"/>
        </w:numPr>
        <w:kinsoku/>
        <w:wordWrap/>
        <w:overflowPunct/>
        <w:topLinePunct w:val="0"/>
        <w:bidi w:val="0"/>
        <w:adjustRightInd w:val="0"/>
        <w:spacing w:line="360" w:lineRule="auto"/>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鉴于投资合作协议尚未签署，其余投资主体的身份将于进展公告中披露。</w:t>
      </w:r>
    </w:p>
    <w:p>
      <w:pPr>
        <w:keepNext w:val="0"/>
        <w:keepLines w:val="0"/>
        <w:pageBreakBefore w:val="0"/>
        <w:numPr>
          <w:ilvl w:val="0"/>
          <w:numId w:val="0"/>
        </w:numPr>
        <w:kinsoku/>
        <w:wordWrap/>
        <w:overflowPunct/>
        <w:topLinePunct w:val="0"/>
        <w:bidi w:val="0"/>
        <w:adjustRightInd w:val="0"/>
        <w:spacing w:line="360" w:lineRule="auto"/>
        <w:jc w:val="left"/>
        <w:textAlignment w:val="auto"/>
        <w:rPr>
          <w:rFonts w:hint="eastAsia" w:ascii="宋体" w:hAnsi="宋体" w:eastAsia="宋体" w:cs="宋体"/>
          <w:color w:val="000000"/>
          <w:kern w:val="0"/>
          <w:sz w:val="24"/>
          <w:szCs w:val="24"/>
        </w:rPr>
      </w:pPr>
    </w:p>
    <w:p>
      <w:pPr>
        <w:keepNext w:val="0"/>
        <w:keepLines w:val="0"/>
        <w:pageBreakBefore w:val="0"/>
        <w:kinsoku/>
        <w:wordWrap/>
        <w:overflowPunct/>
        <w:topLinePunct w:val="0"/>
        <w:autoSpaceDE w:val="0"/>
        <w:autoSpaceDN w:val="0"/>
        <w:bidi w:val="0"/>
        <w:adjustRightInd w:val="0"/>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三、投资标的基本情况</w:t>
      </w:r>
    </w:p>
    <w:p>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锡太项目顺接锡宜高速(锡宜高速公路始于由本公司及其子公司拥有和经营的沪宁高速和锡澄高速交汇点)，起自与锡宜、沪蓉高速交叉设置的无锡北枢纽，向东经无锡惠山新城、锡北、东港和羊尖,跨越望虞河后,向东南经苏州新庄和阳澄湖西,止于与苏台高速公路交叉处的湘城西枢纽，路线全长50.04公里，其中无锡段31.765公里，苏州段18.275公里。根据《江苏省发展改革委关于无锡至太仓高速公路无锡至苏州段初步设计的批复》(苏发改基础发(2022)1411号),锡太项目概算总投资约241.98亿元，其中项目资本金约120.99亿元（占总投资的50%）。项目公司初期注册资本为65亿元,公司投资32.5亿元资本金,股比为50%;无锡市投资主体出资23.5235亿元，股比为36.19%;苏州市投资主体出资8.9765亿元，股比为13.81%。</w:t>
      </w:r>
    </w:p>
    <w:p>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拟投资的锡太项目还在筹备阶段，待投资合作协议签署后，公司将会根据两地交易所的监管规则要求做进展公告（包括香港上市规则第14章下之须予披露的交易公告）。</w:t>
      </w:r>
    </w:p>
    <w:p>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color w:val="000000"/>
          <w:kern w:val="0"/>
          <w:sz w:val="24"/>
          <w:szCs w:val="24"/>
        </w:rPr>
      </w:pPr>
    </w:p>
    <w:p>
      <w:pPr>
        <w:keepNext w:val="0"/>
        <w:keepLines w:val="0"/>
        <w:pageBreakBefore w:val="0"/>
        <w:kinsoku/>
        <w:wordWrap/>
        <w:overflowPunct/>
        <w:topLinePunct w:val="0"/>
        <w:autoSpaceDE w:val="0"/>
        <w:autoSpaceDN w:val="0"/>
        <w:bidi w:val="0"/>
        <w:adjustRightInd w:val="0"/>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四、对外投资合同的主要内容</w:t>
      </w:r>
    </w:p>
    <w:p>
      <w:pPr>
        <w:keepNext w:val="0"/>
        <w:keepLines w:val="0"/>
        <w:pageBreakBefore w:val="0"/>
        <w:tabs>
          <w:tab w:val="left" w:pos="126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拟投资的锡太项目还在筹备阶段</w:t>
      </w:r>
      <w:r>
        <w:rPr>
          <w:rFonts w:hint="eastAsia" w:ascii="宋体" w:hAnsi="宋体" w:eastAsia="宋体" w:cs="宋体"/>
          <w:sz w:val="24"/>
          <w:szCs w:val="24"/>
        </w:rPr>
        <w:t>，待出资各方全部确认后，再签署投资合作协议</w:t>
      </w:r>
      <w:r>
        <w:rPr>
          <w:rFonts w:hint="eastAsia" w:ascii="宋体" w:hAnsi="宋体" w:eastAsia="宋体" w:cs="宋体"/>
          <w:color w:val="000000"/>
          <w:kern w:val="0"/>
          <w:sz w:val="24"/>
          <w:szCs w:val="24"/>
        </w:rPr>
        <w:t>。</w:t>
      </w:r>
    </w:p>
    <w:p>
      <w:pPr>
        <w:keepNext w:val="0"/>
        <w:keepLines w:val="0"/>
        <w:pageBreakBefore w:val="0"/>
        <w:tabs>
          <w:tab w:val="left" w:pos="126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color w:val="000000"/>
          <w:kern w:val="0"/>
          <w:sz w:val="24"/>
          <w:szCs w:val="24"/>
        </w:rPr>
      </w:pPr>
    </w:p>
    <w:p>
      <w:pPr>
        <w:keepNext w:val="0"/>
        <w:keepLines w:val="0"/>
        <w:pageBreakBefore w:val="0"/>
        <w:kinsoku/>
        <w:wordWrap/>
        <w:overflowPunct/>
        <w:topLinePunct w:val="0"/>
        <w:autoSpaceDE w:val="0"/>
        <w:autoSpaceDN w:val="0"/>
        <w:bidi w:val="0"/>
        <w:adjustRightInd w:val="0"/>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五、对外投资对上市公司的影响</w:t>
      </w:r>
    </w:p>
    <w:p>
      <w:pPr>
        <w:keepNext w:val="0"/>
        <w:keepLines w:val="0"/>
        <w:pageBreakBefore w:val="0"/>
        <w:tabs>
          <w:tab w:val="left" w:pos="108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锡太高速与苏昆太高速公路相接，在无锡与上海之间形成新的东西向高速公路通道，是苏沪重要的省际通道。投资锡太项目可以进一步聚焦主责主业，完善与优化路网建设，缓解沪宁高速公路无锡-苏州段交通压力，消除区域平行道路交通分流影响，对于进一步巩固公司在苏南路网中的主导地位具有重要意义。</w:t>
      </w:r>
    </w:p>
    <w:p>
      <w:pPr>
        <w:keepNext w:val="0"/>
        <w:keepLines w:val="0"/>
        <w:pageBreakBefore w:val="0"/>
        <w:tabs>
          <w:tab w:val="left" w:pos="108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公司董事一致认为上述项目具有投资价值。公司董事（包括独立非执行董事）认为符合公司股东整体利益。</w:t>
      </w:r>
    </w:p>
    <w:p>
      <w:pPr>
        <w:keepNext w:val="0"/>
        <w:keepLines w:val="0"/>
        <w:pageBreakBefore w:val="0"/>
        <w:tabs>
          <w:tab w:val="left" w:pos="108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六、对外投资的风险分析</w:t>
      </w:r>
    </w:p>
    <w:p>
      <w:pPr>
        <w:keepNext w:val="0"/>
        <w:keepLines w:val="0"/>
        <w:pageBreakBefore w:val="0"/>
        <w:tabs>
          <w:tab w:val="left" w:pos="1080"/>
          <w:tab w:val="left" w:pos="1260"/>
          <w:tab w:val="left" w:pos="144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（一）交通量不及预期的风险</w:t>
      </w:r>
    </w:p>
    <w:p>
      <w:pPr>
        <w:keepNext w:val="0"/>
        <w:keepLines w:val="0"/>
        <w:pageBreakBefore w:val="0"/>
        <w:tabs>
          <w:tab w:val="left" w:pos="1080"/>
          <w:tab w:val="left" w:pos="1260"/>
          <w:tab w:val="left" w:pos="144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交通量是影响收费收入的最主要因素，项目实际承担的交通量如果低于预测规模，将不能产生预期的现金流量以支付经营费用、创造利润和偿还融资本息，从而造成财务风险。</w:t>
      </w:r>
    </w:p>
    <w:p>
      <w:pPr>
        <w:keepNext w:val="0"/>
        <w:keepLines w:val="0"/>
        <w:pageBreakBefore w:val="0"/>
        <w:tabs>
          <w:tab w:val="left" w:pos="1080"/>
          <w:tab w:val="left" w:pos="1260"/>
          <w:tab w:val="left" w:pos="144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应对措施：公司将重点关注后续路网相关建设工作推进情况，在前期阶段就相关外部条件变化风险提出相应条款，明确路网条件与预期假定不一致情况下收益损失的风险承担机制。</w:t>
      </w:r>
    </w:p>
    <w:p>
      <w:pPr>
        <w:keepNext w:val="0"/>
        <w:keepLines w:val="0"/>
        <w:pageBreakBefore w:val="0"/>
        <w:tabs>
          <w:tab w:val="left" w:pos="1080"/>
          <w:tab w:val="left" w:pos="1260"/>
          <w:tab w:val="left" w:pos="144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（二）收费政策未按假定调整的风险</w:t>
      </w:r>
    </w:p>
    <w:p>
      <w:pPr>
        <w:keepNext w:val="0"/>
        <w:keepLines w:val="0"/>
        <w:pageBreakBefore w:val="0"/>
        <w:tabs>
          <w:tab w:val="left" w:pos="1080"/>
          <w:tab w:val="left" w:pos="1260"/>
          <w:tab w:val="left" w:pos="144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按照交通部立法工作计划，“十四五”期间将完成新条例的修订工作。同时，江苏省内正在开展“十五五”高速公路定价机制研究，目前有关方案尚在探讨阶段，需要结合条例修订进展等进一步完善。</w:t>
      </w:r>
    </w:p>
    <w:p>
      <w:pPr>
        <w:keepNext w:val="0"/>
        <w:keepLines w:val="0"/>
        <w:pageBreakBefore w:val="0"/>
        <w:tabs>
          <w:tab w:val="left" w:pos="1080"/>
          <w:tab w:val="left" w:pos="1260"/>
          <w:tab w:val="left" w:pos="144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应对措施:一是公司将在项目开通前根据项目实际投资与预计运营状况，结合省内各高速流量的发展趋势，适时向政府主管部门申请获批有利的收费经营政策和收费标准。二是公司将在申请收费批文时，争取尽可能长的收费期。</w:t>
      </w:r>
    </w:p>
    <w:p>
      <w:pPr>
        <w:keepNext w:val="0"/>
        <w:keepLines w:val="0"/>
        <w:pageBreakBefore w:val="0"/>
        <w:tabs>
          <w:tab w:val="left" w:pos="1080"/>
          <w:tab w:val="left" w:pos="1260"/>
          <w:tab w:val="left" w:pos="144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（三）项目融资受限及利率调整的风险</w:t>
      </w:r>
    </w:p>
    <w:p>
      <w:pPr>
        <w:keepNext w:val="0"/>
        <w:keepLines w:val="0"/>
        <w:pageBreakBefore w:val="0"/>
        <w:tabs>
          <w:tab w:val="left" w:pos="1080"/>
          <w:tab w:val="left" w:pos="1260"/>
          <w:tab w:val="left" w:pos="144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本项目投资额大，金融机构对项目本身收益评估可能会影响到融资规模及利率水平。此外，现阶段市场利率处于较低水平，经营期内LPR利率有波动调整的可能。因此，本项目融资及其成本存在一定的风险。</w:t>
      </w:r>
    </w:p>
    <w:p>
      <w:pPr>
        <w:keepNext w:val="0"/>
        <w:keepLines w:val="0"/>
        <w:pageBreakBefore w:val="0"/>
        <w:tabs>
          <w:tab w:val="left" w:pos="1080"/>
          <w:tab w:val="left" w:pos="1260"/>
          <w:tab w:val="left" w:pos="144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应对措施：公司将合理运用多种金融工具，优化融资结构，提升资产的流动性。同时，高速公路资产一般具有现金流稳定、融资成本低、回收周期长等特点，具有良好的资产证券化基础，可以科学、多</w:t>
      </w:r>
      <w:r>
        <w:rPr>
          <w:rFonts w:hint="eastAsia" w:ascii="宋体" w:hAnsi="宋体" w:eastAsia="宋体" w:cs="宋体"/>
          <w:bCs/>
          <w:sz w:val="24"/>
          <w:szCs w:val="24"/>
          <w:lang w:val="en-US" w:eastAsia="zh-CN"/>
        </w:rPr>
        <w:t>元</w:t>
      </w:r>
      <w:bookmarkStart w:id="0" w:name="_GoBack"/>
      <w:bookmarkEnd w:id="0"/>
      <w:r>
        <w:rPr>
          <w:rFonts w:hint="eastAsia" w:ascii="宋体" w:hAnsi="宋体" w:eastAsia="宋体" w:cs="宋体"/>
          <w:bCs/>
          <w:sz w:val="24"/>
          <w:szCs w:val="24"/>
        </w:rPr>
        <w:t>运用融资方式，提升经营灵活性，降低金融风险。</w:t>
      </w:r>
    </w:p>
    <w:p>
      <w:pPr>
        <w:keepNext w:val="0"/>
        <w:keepLines w:val="0"/>
        <w:pageBreakBefore w:val="0"/>
        <w:tabs>
          <w:tab w:val="left" w:pos="1080"/>
          <w:tab w:val="left" w:pos="1260"/>
          <w:tab w:val="left" w:pos="1440"/>
        </w:tabs>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bCs/>
          <w:sz w:val="24"/>
          <w:szCs w:val="24"/>
        </w:rPr>
      </w:pPr>
    </w:p>
    <w:p>
      <w:pPr>
        <w:keepNext w:val="0"/>
        <w:keepLines w:val="0"/>
        <w:pageBreakBefore w:val="0"/>
        <w:tabs>
          <w:tab w:val="left" w:pos="540"/>
          <w:tab w:val="left" w:pos="900"/>
        </w:tabs>
        <w:kinsoku/>
        <w:wordWrap/>
        <w:overflowPunct/>
        <w:topLinePunct w:val="0"/>
        <w:bidi w:val="0"/>
        <w:adjustRightInd w:val="0"/>
        <w:snapToGrid w:val="0"/>
        <w:spacing w:line="360" w:lineRule="auto"/>
        <w:ind w:firstLine="482" w:firstLineChars="200"/>
        <w:textAlignment w:val="auto"/>
        <w:rPr>
          <w:rFonts w:hint="eastAsia" w:ascii="宋体" w:hAnsi="宋体" w:eastAsia="宋体" w:cs="宋体"/>
          <w:b/>
          <w:bCs w:val="0"/>
          <w:sz w:val="24"/>
          <w:szCs w:val="24"/>
        </w:rPr>
      </w:pPr>
      <w:r>
        <w:rPr>
          <w:rFonts w:hint="eastAsia" w:ascii="宋体" w:hAnsi="宋体" w:eastAsia="宋体" w:cs="宋体"/>
          <w:b/>
          <w:bCs w:val="0"/>
          <w:sz w:val="24"/>
          <w:szCs w:val="24"/>
        </w:rPr>
        <w:t>特此公告。</w:t>
      </w:r>
    </w:p>
    <w:p>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color w:val="676767"/>
          <w:sz w:val="24"/>
          <w:szCs w:val="24"/>
        </w:rPr>
      </w:pPr>
    </w:p>
    <w:p>
      <w:pPr>
        <w:keepNext w:val="0"/>
        <w:keepLines w:val="0"/>
        <w:pageBreakBefore w:val="0"/>
        <w:kinsoku/>
        <w:wordWrap/>
        <w:overflowPunct/>
        <w:topLinePunct w:val="0"/>
        <w:autoSpaceDE w:val="0"/>
        <w:autoSpaceDN w:val="0"/>
        <w:bidi w:val="0"/>
        <w:adjustRightInd w:val="0"/>
        <w:spacing w:line="360" w:lineRule="auto"/>
        <w:jc w:val="right"/>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江苏宁沪高速公路股份有限公司董事会</w:t>
      </w:r>
    </w:p>
    <w:p>
      <w:pPr>
        <w:keepNext w:val="0"/>
        <w:keepLines w:val="0"/>
        <w:pageBreakBefore w:val="0"/>
        <w:kinsoku/>
        <w:wordWrap/>
        <w:overflowPunct/>
        <w:topLinePunct w:val="0"/>
        <w:bidi w:val="0"/>
        <w:spacing w:line="360" w:lineRule="auto"/>
        <w:jc w:val="right"/>
        <w:textAlignment w:val="auto"/>
        <w:rPr>
          <w:rFonts w:hint="eastAsia" w:ascii="宋体" w:hAnsi="宋体" w:eastAsia="宋体" w:cs="宋体"/>
          <w:color w:val="000000"/>
          <w:sz w:val="24"/>
          <w:szCs w:val="24"/>
        </w:rPr>
      </w:pPr>
      <w:r>
        <w:rPr>
          <w:rFonts w:hint="eastAsia" w:cs="宋体" w:asciiTheme="minorEastAsia" w:hAnsiTheme="minorEastAsia" w:eastAsiaTheme="minorEastAsia"/>
          <w:b/>
          <w:sz w:val="24"/>
        </w:rPr>
        <w:t>二〇二三年十二月二十</w:t>
      </w:r>
      <w:r>
        <w:rPr>
          <w:rFonts w:hint="eastAsia" w:cs="宋体" w:asciiTheme="minorEastAsia" w:hAnsiTheme="minorEastAsia" w:eastAsiaTheme="minorEastAsia"/>
          <w:b/>
          <w:sz w:val="24"/>
          <w:lang w:val="en-US" w:eastAsia="zh-CN"/>
        </w:rPr>
        <w:t>七</w:t>
      </w:r>
      <w:r>
        <w:rPr>
          <w:rFonts w:hint="eastAsia" w:cs="宋体" w:asciiTheme="minorEastAsia" w:hAnsiTheme="minorEastAsia" w:eastAsiaTheme="minorEastAsia"/>
          <w:b/>
          <w:sz w:val="24"/>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66376979"/>
      <w:docPartObj>
        <w:docPartGallery w:val="autotext"/>
      </w:docPartObj>
    </w:sdtPr>
    <w:sdtContent>
      <w:p>
        <w:pPr>
          <w:pStyle w:val="9"/>
          <w:jc w:val="center"/>
        </w:pPr>
        <w:r>
          <w:fldChar w:fldCharType="begin"/>
        </w:r>
        <w:r>
          <w:instrText xml:space="preserve">PAGE   \* MERGEFORMAT</w:instrText>
        </w:r>
        <w:r>
          <w:fldChar w:fldCharType="separate"/>
        </w:r>
        <w:r>
          <w:rPr>
            <w:lang w:val="zh-CN"/>
          </w:rPr>
          <w:t>2</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524951"/>
    <w:multiLevelType w:val="singleLevel"/>
    <w:tmpl w:val="82524951"/>
    <w:lvl w:ilvl="0" w:tentative="0">
      <w:start w:val="2"/>
      <w:numFmt w:val="chineseCounting"/>
      <w:suff w:val="nothing"/>
      <w:lvlText w:val="（%1）"/>
      <w:lvlJc w:val="left"/>
      <w:rPr>
        <w:rFonts w:hint="eastAsia"/>
      </w:rPr>
    </w:lvl>
  </w:abstractNum>
  <w:abstractNum w:abstractNumId="1">
    <w:nsid w:val="5E7B1010"/>
    <w:multiLevelType w:val="multilevel"/>
    <w:tmpl w:val="5E7B1010"/>
    <w:lvl w:ilvl="0" w:tentative="0">
      <w:start w:val="1"/>
      <w:numFmt w:val="chineseCountingThousand"/>
      <w:pStyle w:val="3"/>
      <w:lvlText w:val="%1、"/>
      <w:lvlJc w:val="left"/>
      <w:pPr>
        <w:ind w:left="0" w:firstLine="0"/>
      </w:pPr>
      <w:rPr>
        <w:rFonts w:hint="eastAsia" w:ascii="黑体" w:hAnsi="黑体" w:eastAsia="黑体"/>
        <w:b w:val="0"/>
        <w:i w:val="0"/>
        <w:sz w:val="26"/>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NmMmIwMWIxYzAyZmZiMWZlOTY3NTcxZmU2NzhhZTEifQ=="/>
  </w:docVars>
  <w:rsids>
    <w:rsidRoot w:val="7F7E6360"/>
    <w:rsid w:val="00004D6A"/>
    <w:rsid w:val="0000700D"/>
    <w:rsid w:val="00012D48"/>
    <w:rsid w:val="00024EB9"/>
    <w:rsid w:val="00027869"/>
    <w:rsid w:val="00027D07"/>
    <w:rsid w:val="00051EAC"/>
    <w:rsid w:val="00056399"/>
    <w:rsid w:val="000607D6"/>
    <w:rsid w:val="00063231"/>
    <w:rsid w:val="00066C71"/>
    <w:rsid w:val="00076CA2"/>
    <w:rsid w:val="00087695"/>
    <w:rsid w:val="00090CD6"/>
    <w:rsid w:val="00096092"/>
    <w:rsid w:val="000C27AF"/>
    <w:rsid w:val="000C3D68"/>
    <w:rsid w:val="000C70FA"/>
    <w:rsid w:val="000C7B16"/>
    <w:rsid w:val="000E1324"/>
    <w:rsid w:val="001006CF"/>
    <w:rsid w:val="001041AC"/>
    <w:rsid w:val="00117D19"/>
    <w:rsid w:val="0014188B"/>
    <w:rsid w:val="00142194"/>
    <w:rsid w:val="00147CAD"/>
    <w:rsid w:val="00165DCD"/>
    <w:rsid w:val="001716BF"/>
    <w:rsid w:val="00177552"/>
    <w:rsid w:val="001806CB"/>
    <w:rsid w:val="001A0ADF"/>
    <w:rsid w:val="001B5897"/>
    <w:rsid w:val="001B757C"/>
    <w:rsid w:val="001C2A86"/>
    <w:rsid w:val="001C5C17"/>
    <w:rsid w:val="001D6A5C"/>
    <w:rsid w:val="001E093B"/>
    <w:rsid w:val="001F1E71"/>
    <w:rsid w:val="00211CA1"/>
    <w:rsid w:val="002177A4"/>
    <w:rsid w:val="00224DFB"/>
    <w:rsid w:val="002422A2"/>
    <w:rsid w:val="00251ABB"/>
    <w:rsid w:val="0025585F"/>
    <w:rsid w:val="002627B6"/>
    <w:rsid w:val="00262E9A"/>
    <w:rsid w:val="002645CA"/>
    <w:rsid w:val="00270F72"/>
    <w:rsid w:val="0027371A"/>
    <w:rsid w:val="00287298"/>
    <w:rsid w:val="0029039D"/>
    <w:rsid w:val="00293727"/>
    <w:rsid w:val="00294FCA"/>
    <w:rsid w:val="002A60C3"/>
    <w:rsid w:val="002B59AF"/>
    <w:rsid w:val="002C3C6D"/>
    <w:rsid w:val="002C7EE3"/>
    <w:rsid w:val="002E03D0"/>
    <w:rsid w:val="002E6415"/>
    <w:rsid w:val="002F7B45"/>
    <w:rsid w:val="003109BD"/>
    <w:rsid w:val="00312BED"/>
    <w:rsid w:val="003300E1"/>
    <w:rsid w:val="0034277B"/>
    <w:rsid w:val="003612FA"/>
    <w:rsid w:val="003649E3"/>
    <w:rsid w:val="00386D16"/>
    <w:rsid w:val="003872B8"/>
    <w:rsid w:val="003B1A0A"/>
    <w:rsid w:val="003E32CA"/>
    <w:rsid w:val="003E3AFE"/>
    <w:rsid w:val="003F24CC"/>
    <w:rsid w:val="003F578C"/>
    <w:rsid w:val="00410787"/>
    <w:rsid w:val="00437E3A"/>
    <w:rsid w:val="00460184"/>
    <w:rsid w:val="00464DC8"/>
    <w:rsid w:val="00472D09"/>
    <w:rsid w:val="00494BC0"/>
    <w:rsid w:val="004A57E5"/>
    <w:rsid w:val="004A632D"/>
    <w:rsid w:val="004A7A25"/>
    <w:rsid w:val="004B2E5E"/>
    <w:rsid w:val="004D046C"/>
    <w:rsid w:val="004F2B1D"/>
    <w:rsid w:val="00512A69"/>
    <w:rsid w:val="00515DB4"/>
    <w:rsid w:val="0051767B"/>
    <w:rsid w:val="00526209"/>
    <w:rsid w:val="005309EE"/>
    <w:rsid w:val="005323CB"/>
    <w:rsid w:val="00540163"/>
    <w:rsid w:val="00540C91"/>
    <w:rsid w:val="00546047"/>
    <w:rsid w:val="005532B4"/>
    <w:rsid w:val="00556C39"/>
    <w:rsid w:val="0056210A"/>
    <w:rsid w:val="00577E39"/>
    <w:rsid w:val="00583BE6"/>
    <w:rsid w:val="005A49D8"/>
    <w:rsid w:val="005A674D"/>
    <w:rsid w:val="005C0D88"/>
    <w:rsid w:val="005D0B1E"/>
    <w:rsid w:val="005D503B"/>
    <w:rsid w:val="005D724F"/>
    <w:rsid w:val="005F2C40"/>
    <w:rsid w:val="005F6C91"/>
    <w:rsid w:val="00622771"/>
    <w:rsid w:val="0062441A"/>
    <w:rsid w:val="00624AAF"/>
    <w:rsid w:val="006415AE"/>
    <w:rsid w:val="006566B8"/>
    <w:rsid w:val="006623D4"/>
    <w:rsid w:val="00665F14"/>
    <w:rsid w:val="00671228"/>
    <w:rsid w:val="006854EB"/>
    <w:rsid w:val="006A0383"/>
    <w:rsid w:val="006A29BA"/>
    <w:rsid w:val="006B08F4"/>
    <w:rsid w:val="006B3ADF"/>
    <w:rsid w:val="006B6557"/>
    <w:rsid w:val="006B70A7"/>
    <w:rsid w:val="006B7AD1"/>
    <w:rsid w:val="006B7DB2"/>
    <w:rsid w:val="006C5815"/>
    <w:rsid w:val="006E41A4"/>
    <w:rsid w:val="006F390C"/>
    <w:rsid w:val="006F3972"/>
    <w:rsid w:val="0070193B"/>
    <w:rsid w:val="00710F1D"/>
    <w:rsid w:val="00711D7C"/>
    <w:rsid w:val="00717FC4"/>
    <w:rsid w:val="00730E0E"/>
    <w:rsid w:val="00740640"/>
    <w:rsid w:val="00742C37"/>
    <w:rsid w:val="00742EC3"/>
    <w:rsid w:val="00780A74"/>
    <w:rsid w:val="007C0272"/>
    <w:rsid w:val="007C3BEE"/>
    <w:rsid w:val="007C72FB"/>
    <w:rsid w:val="008026C9"/>
    <w:rsid w:val="00803880"/>
    <w:rsid w:val="00806FC4"/>
    <w:rsid w:val="00825888"/>
    <w:rsid w:val="00834E43"/>
    <w:rsid w:val="00842D1B"/>
    <w:rsid w:val="008450DC"/>
    <w:rsid w:val="00865A70"/>
    <w:rsid w:val="008844A0"/>
    <w:rsid w:val="00885E03"/>
    <w:rsid w:val="008878D5"/>
    <w:rsid w:val="008A7BCE"/>
    <w:rsid w:val="008D1466"/>
    <w:rsid w:val="008D647B"/>
    <w:rsid w:val="008F50EB"/>
    <w:rsid w:val="008F6D0F"/>
    <w:rsid w:val="00903100"/>
    <w:rsid w:val="009040BD"/>
    <w:rsid w:val="00907BC7"/>
    <w:rsid w:val="009117CE"/>
    <w:rsid w:val="00912040"/>
    <w:rsid w:val="00921DF6"/>
    <w:rsid w:val="009311CD"/>
    <w:rsid w:val="00941E3E"/>
    <w:rsid w:val="00942EEC"/>
    <w:rsid w:val="00952D27"/>
    <w:rsid w:val="009534D2"/>
    <w:rsid w:val="009661C9"/>
    <w:rsid w:val="00974527"/>
    <w:rsid w:val="00983E7D"/>
    <w:rsid w:val="00991F23"/>
    <w:rsid w:val="009B1C90"/>
    <w:rsid w:val="009D60A9"/>
    <w:rsid w:val="009E6687"/>
    <w:rsid w:val="009F5AB1"/>
    <w:rsid w:val="009F7445"/>
    <w:rsid w:val="009F7613"/>
    <w:rsid w:val="00A01677"/>
    <w:rsid w:val="00A043BB"/>
    <w:rsid w:val="00A42EEE"/>
    <w:rsid w:val="00A5283A"/>
    <w:rsid w:val="00A77D1C"/>
    <w:rsid w:val="00A83FCD"/>
    <w:rsid w:val="00A869D3"/>
    <w:rsid w:val="00A920B6"/>
    <w:rsid w:val="00A93151"/>
    <w:rsid w:val="00AA1BA9"/>
    <w:rsid w:val="00AA3C7F"/>
    <w:rsid w:val="00AB141C"/>
    <w:rsid w:val="00AC0826"/>
    <w:rsid w:val="00AD074D"/>
    <w:rsid w:val="00AD5181"/>
    <w:rsid w:val="00AE2D56"/>
    <w:rsid w:val="00AE484A"/>
    <w:rsid w:val="00AE5F76"/>
    <w:rsid w:val="00B0398A"/>
    <w:rsid w:val="00B209BE"/>
    <w:rsid w:val="00B309E3"/>
    <w:rsid w:val="00B3798B"/>
    <w:rsid w:val="00B6080A"/>
    <w:rsid w:val="00B62D68"/>
    <w:rsid w:val="00B6793E"/>
    <w:rsid w:val="00B70E3C"/>
    <w:rsid w:val="00B74A2C"/>
    <w:rsid w:val="00B77B05"/>
    <w:rsid w:val="00B84E4D"/>
    <w:rsid w:val="00B86EB3"/>
    <w:rsid w:val="00B940F7"/>
    <w:rsid w:val="00BA351B"/>
    <w:rsid w:val="00BB0D46"/>
    <w:rsid w:val="00BC43F6"/>
    <w:rsid w:val="00BD0CB7"/>
    <w:rsid w:val="00BE21EA"/>
    <w:rsid w:val="00BE40A8"/>
    <w:rsid w:val="00C00F13"/>
    <w:rsid w:val="00C23BC7"/>
    <w:rsid w:val="00C61582"/>
    <w:rsid w:val="00C626C4"/>
    <w:rsid w:val="00C6507A"/>
    <w:rsid w:val="00CA005A"/>
    <w:rsid w:val="00CB47AD"/>
    <w:rsid w:val="00CC0B46"/>
    <w:rsid w:val="00CD1B97"/>
    <w:rsid w:val="00CD4302"/>
    <w:rsid w:val="00CD4805"/>
    <w:rsid w:val="00CD5A4D"/>
    <w:rsid w:val="00CE7788"/>
    <w:rsid w:val="00CF5873"/>
    <w:rsid w:val="00D055A9"/>
    <w:rsid w:val="00D07FEF"/>
    <w:rsid w:val="00D22C6C"/>
    <w:rsid w:val="00D25750"/>
    <w:rsid w:val="00D34FE1"/>
    <w:rsid w:val="00D40F9B"/>
    <w:rsid w:val="00D71D73"/>
    <w:rsid w:val="00D72611"/>
    <w:rsid w:val="00DA022B"/>
    <w:rsid w:val="00DA7C80"/>
    <w:rsid w:val="00DB5FC9"/>
    <w:rsid w:val="00DB6338"/>
    <w:rsid w:val="00DC0160"/>
    <w:rsid w:val="00DD7DA7"/>
    <w:rsid w:val="00DE3D64"/>
    <w:rsid w:val="00DE5E52"/>
    <w:rsid w:val="00E22C2F"/>
    <w:rsid w:val="00E251E4"/>
    <w:rsid w:val="00E26199"/>
    <w:rsid w:val="00E3494E"/>
    <w:rsid w:val="00E40FBD"/>
    <w:rsid w:val="00E53347"/>
    <w:rsid w:val="00E83693"/>
    <w:rsid w:val="00EA308D"/>
    <w:rsid w:val="00EA59E9"/>
    <w:rsid w:val="00EB0776"/>
    <w:rsid w:val="00ED118C"/>
    <w:rsid w:val="00ED24F2"/>
    <w:rsid w:val="00EE4BC4"/>
    <w:rsid w:val="00EE5384"/>
    <w:rsid w:val="00EF580A"/>
    <w:rsid w:val="00F012BE"/>
    <w:rsid w:val="00F25CD6"/>
    <w:rsid w:val="00F2781E"/>
    <w:rsid w:val="00F31C25"/>
    <w:rsid w:val="00F56C5C"/>
    <w:rsid w:val="00F60370"/>
    <w:rsid w:val="00F65107"/>
    <w:rsid w:val="00F76428"/>
    <w:rsid w:val="00F828E3"/>
    <w:rsid w:val="00FA52ED"/>
    <w:rsid w:val="00FA6905"/>
    <w:rsid w:val="00FB1067"/>
    <w:rsid w:val="00FB2B46"/>
    <w:rsid w:val="00FC16E4"/>
    <w:rsid w:val="00FC285C"/>
    <w:rsid w:val="00FC7EE8"/>
    <w:rsid w:val="00FD7B49"/>
    <w:rsid w:val="00FE20B0"/>
    <w:rsid w:val="30670D37"/>
    <w:rsid w:val="4DFF6C8F"/>
    <w:rsid w:val="6A0B7E41"/>
    <w:rsid w:val="757B5E53"/>
    <w:rsid w:val="79FF6DA8"/>
    <w:rsid w:val="7F7E6360"/>
    <w:rsid w:val="DFDFA6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qFormat="1" w:unhideWhenUsed="0" w:uiPriority="0" w:semiHidden="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4"/>
    <w:next w:val="1"/>
    <w:unhideWhenUsed/>
    <w:qFormat/>
    <w:uiPriority w:val="0"/>
    <w:pPr>
      <w:keepNext/>
      <w:keepLines/>
      <w:numPr>
        <w:ilvl w:val="0"/>
        <w:numId w:val="1"/>
      </w:numPr>
      <w:spacing w:before="240" w:after="240" w:line="360" w:lineRule="auto"/>
      <w:ind w:firstLine="721" w:firstLineChars="200"/>
      <w:outlineLvl w:val="1"/>
    </w:pPr>
    <w:rPr>
      <w:rFonts w:eastAsia="黑体" w:asciiTheme="majorHAnsi" w:hAnsiTheme="majorHAnsi" w:cstheme="majorBidi"/>
      <w:bCs/>
      <w:sz w:val="26"/>
      <w:szCs w:val="32"/>
    </w:rPr>
  </w:style>
  <w:style w:type="character" w:default="1" w:styleId="14">
    <w:name w:val="Default Paragraph Font"/>
    <w:autoRedefine/>
    <w:semiHidden/>
    <w:unhideWhenUsed/>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4">
    <w:name w:val="Block Text"/>
    <w:basedOn w:val="1"/>
    <w:autoRedefine/>
    <w:qFormat/>
    <w:uiPriority w:val="0"/>
    <w:pPr>
      <w:ind w:left="1440" w:leftChars="700" w:right="700" w:rightChars="700"/>
    </w:pPr>
  </w:style>
  <w:style w:type="paragraph" w:styleId="5">
    <w:name w:val="annotation text"/>
    <w:basedOn w:val="1"/>
    <w:link w:val="21"/>
    <w:autoRedefine/>
    <w:semiHidden/>
    <w:unhideWhenUsed/>
    <w:uiPriority w:val="0"/>
    <w:pPr>
      <w:jc w:val="left"/>
    </w:pPr>
  </w:style>
  <w:style w:type="paragraph" w:styleId="6">
    <w:name w:val="Body Text"/>
    <w:basedOn w:val="1"/>
    <w:link w:val="23"/>
    <w:autoRedefine/>
    <w:semiHidden/>
    <w:unhideWhenUsed/>
    <w:uiPriority w:val="0"/>
    <w:pPr>
      <w:spacing w:after="120"/>
    </w:pPr>
  </w:style>
  <w:style w:type="paragraph" w:styleId="7">
    <w:name w:val="Body Text Indent 2"/>
    <w:basedOn w:val="1"/>
    <w:autoRedefine/>
    <w:uiPriority w:val="0"/>
    <w:pPr>
      <w:spacing w:line="600" w:lineRule="exact"/>
      <w:ind w:firstLine="600" w:firstLineChars="200"/>
    </w:pPr>
    <w:rPr>
      <w:rFonts w:ascii="仿宋_GB2312" w:hAnsi="宋体" w:eastAsia="仿宋_GB2312" w:cs="Times New Roman"/>
      <w:sz w:val="30"/>
      <w:szCs w:val="30"/>
    </w:rPr>
  </w:style>
  <w:style w:type="paragraph" w:styleId="8">
    <w:name w:val="Balloon Text"/>
    <w:basedOn w:val="1"/>
    <w:link w:val="20"/>
    <w:autoRedefine/>
    <w:uiPriority w:val="0"/>
    <w:rPr>
      <w:sz w:val="18"/>
      <w:szCs w:val="18"/>
    </w:rPr>
  </w:style>
  <w:style w:type="paragraph" w:styleId="9">
    <w:name w:val="footer"/>
    <w:basedOn w:val="1"/>
    <w:link w:val="18"/>
    <w:autoRedefine/>
    <w:qFormat/>
    <w:uiPriority w:val="99"/>
    <w:pPr>
      <w:tabs>
        <w:tab w:val="center" w:pos="4153"/>
        <w:tab w:val="right" w:pos="8306"/>
      </w:tabs>
      <w:snapToGrid w:val="0"/>
      <w:jc w:val="left"/>
    </w:pPr>
    <w:rPr>
      <w:sz w:val="18"/>
      <w:szCs w:val="18"/>
    </w:rPr>
  </w:style>
  <w:style w:type="paragraph" w:styleId="10">
    <w:name w:val="header"/>
    <w:basedOn w:val="1"/>
    <w:link w:val="17"/>
    <w:autoRedefine/>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styleId="12">
    <w:name w:val="annotation subject"/>
    <w:basedOn w:val="5"/>
    <w:next w:val="5"/>
    <w:link w:val="22"/>
    <w:autoRedefine/>
    <w:semiHidden/>
    <w:unhideWhenUsed/>
    <w:uiPriority w:val="0"/>
    <w:rPr>
      <w:b/>
      <w:bCs/>
    </w:rPr>
  </w:style>
  <w:style w:type="character" w:styleId="15">
    <w:name w:val="annotation reference"/>
    <w:basedOn w:val="14"/>
    <w:autoRedefine/>
    <w:semiHidden/>
    <w:unhideWhenUsed/>
    <w:qFormat/>
    <w:uiPriority w:val="0"/>
    <w:rPr>
      <w:sz w:val="21"/>
      <w:szCs w:val="21"/>
    </w:rPr>
  </w:style>
  <w:style w:type="paragraph" w:customStyle="1" w:styleId="16">
    <w:name w:val="列出段落1"/>
    <w:basedOn w:val="1"/>
    <w:autoRedefine/>
    <w:qFormat/>
    <w:uiPriority w:val="34"/>
    <w:pPr>
      <w:ind w:firstLine="420" w:firstLineChars="200"/>
    </w:pPr>
  </w:style>
  <w:style w:type="character" w:customStyle="1" w:styleId="17">
    <w:name w:val="页眉 字符"/>
    <w:basedOn w:val="14"/>
    <w:link w:val="10"/>
    <w:autoRedefine/>
    <w:uiPriority w:val="0"/>
    <w:rPr>
      <w:kern w:val="2"/>
      <w:sz w:val="18"/>
      <w:szCs w:val="18"/>
    </w:rPr>
  </w:style>
  <w:style w:type="character" w:customStyle="1" w:styleId="18">
    <w:name w:val="页脚 字符"/>
    <w:basedOn w:val="14"/>
    <w:link w:val="9"/>
    <w:autoRedefine/>
    <w:uiPriority w:val="99"/>
    <w:rPr>
      <w:kern w:val="2"/>
      <w:sz w:val="18"/>
      <w:szCs w:val="18"/>
    </w:rPr>
  </w:style>
  <w:style w:type="paragraph" w:styleId="19">
    <w:name w:val="List Paragraph"/>
    <w:basedOn w:val="1"/>
    <w:autoRedefine/>
    <w:qFormat/>
    <w:uiPriority w:val="34"/>
    <w:pPr>
      <w:ind w:firstLine="420" w:firstLineChars="200"/>
    </w:pPr>
    <w:rPr>
      <w:rFonts w:ascii="Calibri" w:hAnsi="Calibri" w:eastAsia="宋体" w:cs="Times New Roman"/>
    </w:rPr>
  </w:style>
  <w:style w:type="character" w:customStyle="1" w:styleId="20">
    <w:name w:val="批注框文本 字符"/>
    <w:basedOn w:val="14"/>
    <w:link w:val="8"/>
    <w:autoRedefine/>
    <w:qFormat/>
    <w:uiPriority w:val="0"/>
    <w:rPr>
      <w:kern w:val="2"/>
      <w:sz w:val="18"/>
      <w:szCs w:val="18"/>
    </w:rPr>
  </w:style>
  <w:style w:type="character" w:customStyle="1" w:styleId="21">
    <w:name w:val="批注文字 字符"/>
    <w:basedOn w:val="14"/>
    <w:link w:val="5"/>
    <w:autoRedefine/>
    <w:semiHidden/>
    <w:uiPriority w:val="0"/>
    <w:rPr>
      <w:kern w:val="2"/>
      <w:sz w:val="21"/>
      <w:szCs w:val="22"/>
    </w:rPr>
  </w:style>
  <w:style w:type="character" w:customStyle="1" w:styleId="22">
    <w:name w:val="批注主题 字符"/>
    <w:basedOn w:val="21"/>
    <w:link w:val="12"/>
    <w:autoRedefine/>
    <w:uiPriority w:val="0"/>
    <w:rPr>
      <w:kern w:val="2"/>
      <w:sz w:val="21"/>
      <w:szCs w:val="22"/>
    </w:rPr>
  </w:style>
  <w:style w:type="character" w:customStyle="1" w:styleId="23">
    <w:name w:val="正文文本 字符"/>
    <w:basedOn w:val="14"/>
    <w:link w:val="6"/>
    <w:autoRedefine/>
    <w:semiHidden/>
    <w:uiPriority w:val="0"/>
    <w:rPr>
      <w:kern w:val="2"/>
      <w:sz w:val="21"/>
      <w:szCs w:val="22"/>
    </w:rPr>
  </w:style>
  <w:style w:type="paragraph" w:customStyle="1" w:styleId="24">
    <w:name w:val="Revision"/>
    <w:autoRedefine/>
    <w:hidden/>
    <w:semiHidden/>
    <w:uiPriority w:val="99"/>
    <w:rPr>
      <w:rFonts w:asciiTheme="minorHAnsi" w:hAnsiTheme="minorHAnsi" w:eastAsiaTheme="minorEastAsia" w:cstheme="minorBidi"/>
      <w:kern w:val="2"/>
      <w:sz w:val="21"/>
      <w:szCs w:val="22"/>
      <w:lang w:val="en-US" w:eastAsia="zh-CN" w:bidi="ar-SA"/>
    </w:rPr>
  </w:style>
  <w:style w:type="paragraph" w:customStyle="1" w:styleId="25">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3BBECB-12CB-4A6D-B415-CAD37EB5C3D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379</Words>
  <Characters>2166</Characters>
  <Lines>18</Lines>
  <Paragraphs>5</Paragraphs>
  <TotalTime>0</TotalTime>
  <ScaleCrop>false</ScaleCrop>
  <LinksUpToDate>false</LinksUpToDate>
  <CharactersWithSpaces>2540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2023-12-26T07:19:00Z</dcterms:created>
  <dc:creator>Administrator</dc:creator>
  <cp:lastModifiedBy>木可三曰</cp:lastModifiedBy>
  <dcterms:modified xsi:type="dcterms:W3CDTF">2023-12-26T08:04:10Z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423E2A690A744324B5B476DEA5F0142B_12</vt:lpwstr>
  </property>
</Properties>
</file>