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rPr>
          <w:rFonts w:asciiTheme="minorEastAsia" w:hAnsiTheme="minorEastAsia" w:eastAsiaTheme="minorEastAsia" w:cstheme="minorEastAsia"/>
          <w:b/>
          <w:sz w:val="24"/>
        </w:rPr>
      </w:pPr>
      <w:r>
        <w:rPr>
          <w:rFonts w:hint="eastAsia" w:asciiTheme="minorEastAsia" w:hAnsiTheme="minorEastAsia" w:eastAsiaTheme="minorEastAsia" w:cstheme="minorEastAsia"/>
          <w:b/>
          <w:sz w:val="24"/>
        </w:rPr>
        <w:t>股票简称：宁沪高速          股票代码：600377           编号：临2023-050</w:t>
      </w:r>
    </w:p>
    <w:p>
      <w:pPr>
        <w:adjustRightInd w:val="0"/>
        <w:snapToGrid w:val="0"/>
        <w:spacing w:line="312" w:lineRule="auto"/>
        <w:jc w:val="center"/>
        <w:rPr>
          <w:b/>
          <w:sz w:val="24"/>
        </w:rPr>
      </w:pPr>
    </w:p>
    <w:p>
      <w:pPr>
        <w:adjustRightInd w:val="0"/>
        <w:snapToGrid w:val="0"/>
        <w:spacing w:line="360" w:lineRule="auto"/>
        <w:jc w:val="center"/>
        <w:rPr>
          <w:b/>
          <w:sz w:val="28"/>
          <w:szCs w:val="28"/>
        </w:rPr>
      </w:pPr>
      <w:r>
        <w:rPr>
          <w:b/>
          <w:sz w:val="28"/>
          <w:szCs w:val="28"/>
        </w:rPr>
        <w:t>江苏宁沪高速公路股份有限公司</w:t>
      </w:r>
    </w:p>
    <w:p>
      <w:pPr>
        <w:adjustRightInd w:val="0"/>
        <w:snapToGrid w:val="0"/>
        <w:spacing w:line="360" w:lineRule="auto"/>
        <w:jc w:val="center"/>
        <w:rPr>
          <w:b/>
          <w:bCs/>
          <w:sz w:val="28"/>
          <w:szCs w:val="28"/>
        </w:rPr>
      </w:pPr>
      <w:r>
        <w:rPr>
          <w:b/>
          <w:sz w:val="28"/>
          <w:szCs w:val="28"/>
        </w:rPr>
        <w:t>第十届董事会第</w:t>
      </w:r>
      <w:r>
        <w:rPr>
          <w:rFonts w:hint="eastAsia"/>
          <w:b/>
          <w:sz w:val="28"/>
          <w:szCs w:val="28"/>
        </w:rPr>
        <w:t>二十三</w:t>
      </w:r>
      <w:r>
        <w:rPr>
          <w:b/>
          <w:sz w:val="28"/>
          <w:szCs w:val="28"/>
        </w:rPr>
        <w:t>次会议决议</w:t>
      </w:r>
      <w:r>
        <w:rPr>
          <w:b/>
          <w:bCs/>
          <w:sz w:val="28"/>
          <w:szCs w:val="28"/>
        </w:rPr>
        <w:t>公告</w:t>
      </w:r>
    </w:p>
    <w:p>
      <w:pPr>
        <w:pStyle w:val="22"/>
        <w:snapToGrid w:val="0"/>
        <w:spacing w:line="360" w:lineRule="auto"/>
      </w:pPr>
      <w:r>
        <w:rPr>
          <w:lang w:val="en-US"/>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147320</wp:posOffset>
                </wp:positionV>
                <wp:extent cx="5734050" cy="632460"/>
                <wp:effectExtent l="4445" t="5080" r="14605" b="10160"/>
                <wp:wrapNone/>
                <wp:docPr id="3" name="矩形 3"/>
                <wp:cNvGraphicFramePr/>
                <a:graphic xmlns:a="http://schemas.openxmlformats.org/drawingml/2006/main">
                  <a:graphicData uri="http://schemas.microsoft.com/office/word/2010/wordprocessingShape">
                    <wps:wsp>
                      <wps:cNvSpPr/>
                      <wps:spPr>
                        <a:xfrm>
                          <a:off x="0" y="0"/>
                          <a:ext cx="5734050" cy="632460"/>
                        </a:xfrm>
                        <a:prstGeom prst="rect">
                          <a:avLst/>
                        </a:prstGeom>
                        <a:solidFill>
                          <a:srgbClr val="FFFFFF"/>
                        </a:solidFill>
                        <a:ln w="9525">
                          <a:solidFill>
                            <a:srgbClr val="000000"/>
                          </a:solidFill>
                          <a:prstDash val="solid"/>
                          <a:miter lim="0"/>
                        </a:ln>
                      </wps:spPr>
                      <wps:txbx>
                        <w:txbxContent>
                          <w:p>
                            <w:pPr>
                              <w:spacing w:line="360" w:lineRule="auto"/>
                              <w:rPr>
                                <w:rFonts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xbxContent>
                      </wps:txbx>
                      <wps:bodyPr upright="1"/>
                    </wps:wsp>
                  </a:graphicData>
                </a:graphic>
              </wp:anchor>
            </w:drawing>
          </mc:Choice>
          <mc:Fallback>
            <w:pict>
              <v:rect id="_x0000_s1026" o:spid="_x0000_s1026" o:spt="1" style="position:absolute;left:0pt;margin-left:0pt;margin-top:11.6pt;height:49.8pt;width:451.5pt;z-index:251659264;mso-width-relative:page;mso-height-relative:page;" fillcolor="#FFFFFF" filled="t" stroked="t" coordsize="21600,21600" o:gfxdata="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BQVNtp1wAAAAcBAAAPAAAAAAAA&#10;AAEAIAAAACIAAABkcnMvZG93bnJldi54bWxQSwECFAAUAAAACACHTuJA1LqSNNoBAADHAwAADgAA&#10;AAAAAAABACAAAAAmAQAAZHJzL2Uyb0RvYy54bWxQSwUGAAAAAAYABgBZAQAAcgUAAAAA&#10;">
                <v:fill on="t" focussize="0,0"/>
                <v:stroke color="#000000" miterlimit="0" joinstyle="miter"/>
                <v:imagedata o:title=""/>
                <o:lock v:ext="edit" aspectratio="f"/>
                <v:textbox>
                  <w:txbxContent>
                    <w:p>
                      <w:pPr>
                        <w:spacing w:line="360" w:lineRule="auto"/>
                        <w:rPr>
                          <w:rFonts w:ascii="宋体" w:hAnsi="宋体" w:cs="宋体"/>
                          <w:b/>
                          <w:sz w:val="24"/>
                        </w:rPr>
                      </w:pPr>
                      <w:r>
                        <w:rPr>
                          <w:rFonts w:hint="eastAsia" w:ascii="宋体" w:hAnsi="宋体" w:cs="宋体"/>
                          <w:b/>
                          <w:sz w:val="24"/>
                        </w:rPr>
                        <w:t>本公司董事会及全体董事保证本公告内容不存在任何虚假记载、误导性陈述或者重大遗漏，并对其内容的真实性、准确性和完整性承担法律责任。</w:t>
                      </w:r>
                    </w:p>
                  </w:txbxContent>
                </v:textbox>
              </v:rect>
            </w:pict>
          </mc:Fallback>
        </mc:AlternateContent>
      </w:r>
    </w:p>
    <w:p>
      <w:pPr>
        <w:pStyle w:val="22"/>
        <w:snapToGrid w:val="0"/>
        <w:spacing w:line="360" w:lineRule="auto"/>
      </w:pPr>
    </w:p>
    <w:p>
      <w:pPr>
        <w:pStyle w:val="22"/>
        <w:snapToGrid w:val="0"/>
        <w:spacing w:line="360" w:lineRule="auto"/>
      </w:pPr>
    </w:p>
    <w:p>
      <w:pPr>
        <w:autoSpaceDE w:val="0"/>
        <w:autoSpaceDN w:val="0"/>
        <w:adjustRightInd w:val="0"/>
        <w:spacing w:line="360" w:lineRule="auto"/>
        <w:ind w:firstLine="482" w:firstLineChars="200"/>
        <w:jc w:val="left"/>
        <w:rPr>
          <w:rFonts w:asciiTheme="minorEastAsia" w:hAnsiTheme="minorEastAsia" w:eastAsiaTheme="minorEastAsia"/>
          <w:b/>
          <w:sz w:val="24"/>
        </w:rPr>
      </w:pPr>
      <w:r>
        <w:rPr>
          <w:rFonts w:asciiTheme="minorEastAsia" w:hAnsiTheme="minorEastAsia" w:eastAsiaTheme="minorEastAsia"/>
          <w:b/>
          <w:sz w:val="24"/>
        </w:rPr>
        <w:t xml:space="preserve">一、会议召开情况 </w:t>
      </w:r>
    </w:p>
    <w:p>
      <w:pPr>
        <w:pStyle w:val="27"/>
        <w:autoSpaceDE w:val="0"/>
        <w:autoSpaceDN w:val="0"/>
        <w:adjustRightInd w:val="0"/>
        <w:spacing w:line="360" w:lineRule="auto"/>
        <w:ind w:firstLine="480"/>
        <w:jc w:val="left"/>
        <w:rPr>
          <w:rFonts w:cs="宋体" w:asciiTheme="minorEastAsia" w:hAnsiTheme="minorEastAsia" w:eastAsiaTheme="minorEastAsia"/>
          <w:sz w:val="24"/>
        </w:rPr>
      </w:pPr>
      <w:r>
        <w:rPr>
          <w:rFonts w:hint="eastAsia" w:cs="宋体" w:asciiTheme="minorEastAsia" w:hAnsiTheme="minorEastAsia" w:eastAsiaTheme="minorEastAsia"/>
          <w:sz w:val="24"/>
        </w:rPr>
        <w:t>（一）江苏宁沪高速公路股份有限公司（以下简称“本公司”）第十届董事会第二十三次会议（以下简称“会议”）于2023年12月26日以现场会议及视频会议相结合的方式召开。</w:t>
      </w:r>
    </w:p>
    <w:p>
      <w:pPr>
        <w:pStyle w:val="27"/>
        <w:autoSpaceDE w:val="0"/>
        <w:autoSpaceDN w:val="0"/>
        <w:adjustRightInd w:val="0"/>
        <w:spacing w:line="360" w:lineRule="auto"/>
        <w:ind w:firstLine="480"/>
        <w:jc w:val="left"/>
        <w:rPr>
          <w:rFonts w:cs="宋体" w:asciiTheme="minorEastAsia" w:hAnsiTheme="minorEastAsia" w:eastAsiaTheme="minorEastAsia"/>
          <w:sz w:val="24"/>
        </w:rPr>
      </w:pPr>
      <w:r>
        <w:rPr>
          <w:rFonts w:hint="eastAsia" w:cs="宋体" w:asciiTheme="minorEastAsia" w:hAnsiTheme="minorEastAsia" w:eastAsiaTheme="minorEastAsia"/>
          <w:sz w:val="24"/>
        </w:rPr>
        <w:t>（二）会议通知以邮件或专人送达的方式向董事会全体成员发出。</w:t>
      </w:r>
    </w:p>
    <w:p>
      <w:pPr>
        <w:pStyle w:val="27"/>
        <w:autoSpaceDE w:val="0"/>
        <w:autoSpaceDN w:val="0"/>
        <w:adjustRightInd w:val="0"/>
        <w:spacing w:line="360" w:lineRule="auto"/>
        <w:ind w:firstLine="480"/>
        <w:jc w:val="left"/>
        <w:rPr>
          <w:rFonts w:cs="宋体" w:asciiTheme="minorEastAsia" w:hAnsiTheme="minorEastAsia" w:eastAsiaTheme="minorEastAsia"/>
          <w:sz w:val="24"/>
        </w:rPr>
      </w:pPr>
      <w:r>
        <w:rPr>
          <w:rFonts w:hint="eastAsia" w:cs="宋体" w:asciiTheme="minorEastAsia" w:hAnsiTheme="minorEastAsia" w:eastAsiaTheme="minorEastAsia"/>
          <w:sz w:val="24"/>
        </w:rPr>
        <w:t>（三）会议应出席董事13人，实际出席董事13人。</w:t>
      </w:r>
    </w:p>
    <w:p>
      <w:pPr>
        <w:pStyle w:val="27"/>
        <w:autoSpaceDE w:val="0"/>
        <w:autoSpaceDN w:val="0"/>
        <w:adjustRightInd w:val="0"/>
        <w:spacing w:line="360" w:lineRule="auto"/>
        <w:ind w:firstLine="480"/>
        <w:jc w:val="left"/>
        <w:rPr>
          <w:rFonts w:cs="宋体" w:asciiTheme="minorEastAsia" w:hAnsiTheme="minorEastAsia" w:eastAsiaTheme="minorEastAsia"/>
          <w:sz w:val="24"/>
        </w:rPr>
      </w:pPr>
      <w:r>
        <w:rPr>
          <w:rFonts w:hint="eastAsia" w:cs="宋体" w:asciiTheme="minorEastAsia" w:hAnsiTheme="minorEastAsia" w:eastAsiaTheme="minorEastAsia"/>
          <w:sz w:val="24"/>
        </w:rPr>
        <w:t>（四）会议的召开符合《公司法》及本公司《章程》的有关规定，会议决议为有效决议。</w:t>
      </w:r>
    </w:p>
    <w:p>
      <w:pPr>
        <w:pStyle w:val="27"/>
        <w:autoSpaceDE w:val="0"/>
        <w:autoSpaceDN w:val="0"/>
        <w:adjustRightInd w:val="0"/>
        <w:spacing w:line="360" w:lineRule="auto"/>
        <w:ind w:firstLine="480"/>
        <w:jc w:val="left"/>
        <w:rPr>
          <w:rFonts w:cs="宋体" w:asciiTheme="minorEastAsia" w:hAnsiTheme="minorEastAsia" w:eastAsiaTheme="minorEastAsia"/>
          <w:sz w:val="24"/>
        </w:rPr>
      </w:pPr>
      <w:r>
        <w:rPr>
          <w:rFonts w:hint="eastAsia" w:cs="宋体" w:asciiTheme="minorEastAsia" w:hAnsiTheme="minorEastAsia" w:eastAsiaTheme="minorEastAsia"/>
          <w:sz w:val="24"/>
        </w:rPr>
        <w:t>（五）会议由董事长陈云江先生主持。</w:t>
      </w:r>
    </w:p>
    <w:p>
      <w:pPr>
        <w:pStyle w:val="27"/>
        <w:autoSpaceDE w:val="0"/>
        <w:autoSpaceDN w:val="0"/>
        <w:adjustRightInd w:val="0"/>
        <w:spacing w:line="360" w:lineRule="auto"/>
        <w:ind w:firstLine="480"/>
        <w:jc w:val="left"/>
        <w:rPr>
          <w:rFonts w:cs="宋体" w:asciiTheme="minorEastAsia" w:hAnsiTheme="minorEastAsia" w:eastAsiaTheme="minorEastAsia"/>
          <w:sz w:val="24"/>
        </w:rPr>
      </w:pPr>
    </w:p>
    <w:p>
      <w:pPr>
        <w:pStyle w:val="27"/>
        <w:autoSpaceDE w:val="0"/>
        <w:autoSpaceDN w:val="0"/>
        <w:adjustRightInd w:val="0"/>
        <w:spacing w:line="360" w:lineRule="auto"/>
        <w:ind w:firstLine="482"/>
        <w:jc w:val="left"/>
        <w:rPr>
          <w:rFonts w:cs="宋体" w:asciiTheme="minorEastAsia" w:hAnsiTheme="minorEastAsia" w:eastAsiaTheme="minorEastAsia"/>
          <w:b/>
          <w:sz w:val="24"/>
        </w:rPr>
      </w:pPr>
      <w:r>
        <w:rPr>
          <w:rFonts w:hint="eastAsia" w:cs="宋体" w:asciiTheme="minorEastAsia" w:hAnsiTheme="minorEastAsia" w:eastAsiaTheme="minorEastAsia"/>
          <w:b/>
          <w:sz w:val="24"/>
        </w:rPr>
        <w:t>二、会议审议情况</w:t>
      </w:r>
    </w:p>
    <w:p>
      <w:pPr>
        <w:pStyle w:val="27"/>
        <w:autoSpaceDE w:val="0"/>
        <w:autoSpaceDN w:val="0"/>
        <w:adjustRightInd w:val="0"/>
        <w:spacing w:line="360" w:lineRule="auto"/>
        <w:ind w:firstLine="480"/>
        <w:jc w:val="left"/>
        <w:rPr>
          <w:rFonts w:cs="宋体" w:asciiTheme="minorEastAsia" w:hAnsiTheme="minorEastAsia" w:eastAsiaTheme="minorEastAsia"/>
          <w:sz w:val="24"/>
        </w:rPr>
      </w:pPr>
      <w:r>
        <w:rPr>
          <w:rFonts w:hint="eastAsia" w:cs="宋体" w:asciiTheme="minorEastAsia" w:hAnsiTheme="minorEastAsia" w:eastAsiaTheme="minorEastAsia"/>
          <w:sz w:val="24"/>
        </w:rPr>
        <w:t>本次会议审议并通过如下议案：</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（一）审议并批准《关于本公司投资建设无锡至太仓高速公路无锡至苏州段项目的议案》。</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同意本公司以自有资金出资人民币325,000万元牵头组建项目公司，投资建设无锡至太仓高速公路无锡至苏州段项目（以下简称“锡太项目”），锡太项目概算总投资为</w:t>
      </w:r>
      <w:r>
        <w:rPr>
          <w:rFonts w:hint="eastAsia" w:cs="宋体" w:asciiTheme="minorEastAsia" w:hAnsiTheme="minorEastAsia" w:eastAsiaTheme="minorEastAsia"/>
          <w:sz w:val="24"/>
          <w:lang w:val="en-US" w:eastAsia="zh-CN"/>
        </w:rPr>
        <w:t>人民币</w:t>
      </w:r>
      <w:r>
        <w:rPr>
          <w:rFonts w:hint="eastAsia" w:cs="宋体" w:asciiTheme="minorEastAsia" w:hAnsiTheme="minorEastAsia" w:eastAsiaTheme="minorEastAsia"/>
          <w:sz w:val="24"/>
        </w:rPr>
        <w:t>2,419,819.11万元，其中项目资本金</w:t>
      </w:r>
      <w:r>
        <w:rPr>
          <w:rFonts w:hint="eastAsia" w:cs="宋体" w:asciiTheme="minorEastAsia" w:hAnsiTheme="minorEastAsia" w:eastAsiaTheme="minorEastAsia"/>
          <w:sz w:val="24"/>
          <w:lang w:val="en-US" w:eastAsia="zh-CN"/>
        </w:rPr>
        <w:t>人民币</w:t>
      </w:r>
      <w:r>
        <w:rPr>
          <w:rFonts w:hint="eastAsia" w:cs="宋体" w:asciiTheme="minorEastAsia" w:hAnsiTheme="minorEastAsia" w:eastAsiaTheme="minorEastAsia"/>
          <w:sz w:val="24"/>
        </w:rPr>
        <w:t>1,209,909.56万元，占总投资的50%。根据项目实际建设及用款需求批复，项目公司初期注册资本为</w:t>
      </w:r>
      <w:r>
        <w:rPr>
          <w:rFonts w:hint="eastAsia" w:cs="宋体" w:asciiTheme="minorEastAsia" w:hAnsiTheme="minorEastAsia" w:eastAsiaTheme="minorEastAsia"/>
          <w:sz w:val="24"/>
          <w:lang w:val="en-US" w:eastAsia="zh-CN"/>
        </w:rPr>
        <w:t>人民币</w:t>
      </w:r>
      <w:r>
        <w:rPr>
          <w:rFonts w:hint="eastAsia" w:cs="宋体" w:asciiTheme="minorEastAsia" w:hAnsiTheme="minorEastAsia" w:eastAsiaTheme="minorEastAsia"/>
          <w:sz w:val="24"/>
        </w:rPr>
        <w:t>650,000万元，锡太项目资本投资各方比例为：本公司出资人民币325,000万元，股比50%；无锡市投资主体出资人民币235,235万元，股比36.19%；苏州市投资主体出资人民币89,765万元，股比</w:t>
      </w:r>
      <w:bookmarkStart w:id="0" w:name="_GoBack"/>
      <w:bookmarkEnd w:id="0"/>
      <w:r>
        <w:rPr>
          <w:rFonts w:hint="eastAsia" w:cs="宋体" w:asciiTheme="minorEastAsia" w:hAnsiTheme="minorEastAsia" w:eastAsiaTheme="minorEastAsia"/>
          <w:sz w:val="24"/>
        </w:rPr>
        <w:t>13.81%。后期，各出资方根据实际建设进度按持股比例对项目公司进行增资扩股，直至项目公司注册资本达到项目批复资本金金额</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rPr>
        <w:t>授权公司执行董事处理后续事宜，包括但不限于签署出资协议书、公司章程等。</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表决结果：同意</w:t>
      </w:r>
      <w:r>
        <w:rPr>
          <w:rFonts w:cs="宋体" w:asciiTheme="minorEastAsia" w:hAnsiTheme="minorEastAsia" w:eastAsiaTheme="minorEastAsia"/>
          <w:b/>
          <w:sz w:val="24"/>
        </w:rPr>
        <w:t>13票；反对0票；弃权0票。</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此议案获得通过。</w:t>
      </w:r>
    </w:p>
    <w:p>
      <w:pPr>
        <w:spacing w:line="360" w:lineRule="auto"/>
        <w:ind w:firstLine="480" w:firstLineChars="200"/>
        <w:jc w:val="left"/>
        <w:rPr>
          <w:rFonts w:cs="宋体" w:asciiTheme="minorEastAsia" w:hAnsiTheme="minorEastAsia" w:eastAsiaTheme="minorEastAsia"/>
          <w:sz w:val="24"/>
        </w:rPr>
      </w:pP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（二）审议并批准《关于本公司与控股子公司江苏五峰山大桥有限公司（以下简称“五峰山大桥公司”）签署委托管理协议的议案》。</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同意本公司与五峰山大桥公司签署委托经营管理协议，由本公司受托运营管理五峰山大桥项目，协议期限自2024年1月1日至2026年4月30日，委托管理费</w:t>
      </w:r>
      <w:r>
        <w:rPr>
          <w:rFonts w:hint="eastAsia" w:cs="宋体" w:asciiTheme="minorEastAsia" w:hAnsiTheme="minorEastAsia" w:eastAsiaTheme="minorEastAsia"/>
          <w:sz w:val="24"/>
          <w:lang w:val="en-US" w:eastAsia="zh-CN"/>
        </w:rPr>
        <w:t>金额为不超过</w:t>
      </w:r>
      <w:r>
        <w:rPr>
          <w:rFonts w:hint="eastAsia" w:cs="宋体" w:asciiTheme="minorEastAsia" w:hAnsiTheme="minorEastAsia" w:eastAsiaTheme="minorEastAsia"/>
          <w:sz w:val="24"/>
        </w:rPr>
        <w:t>人民币</w:t>
      </w:r>
      <w:r>
        <w:rPr>
          <w:rFonts w:hint="eastAsia" w:cs="宋体" w:asciiTheme="minorEastAsia" w:hAnsiTheme="minorEastAsia" w:eastAsiaTheme="minorEastAsia"/>
          <w:sz w:val="24"/>
          <w:lang w:val="en-US" w:eastAsia="zh-CN"/>
        </w:rPr>
        <w:t>12,517万元，</w:t>
      </w:r>
      <w:r>
        <w:rPr>
          <w:rFonts w:hint="eastAsia" w:cs="宋体" w:asciiTheme="minorEastAsia" w:hAnsiTheme="minorEastAsia" w:eastAsiaTheme="minorEastAsia"/>
          <w:sz w:val="24"/>
        </w:rPr>
        <w:t>其中：2024年1月1日至12月31日不超过人民币5,000万元，2025年1月1日至12月31日不超过人民币5,500万元，2026年1月1日至4月30日不超过人民币2,017万元；授权公司执行董事处理后续事宜；批准日常关联/持续关连交易公告内容并授权公司秘书姚永嘉先生于协议签订后予以公告。</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表决结果：同意</w:t>
      </w:r>
      <w:r>
        <w:rPr>
          <w:rFonts w:cs="宋体" w:asciiTheme="minorEastAsia" w:hAnsiTheme="minorEastAsia" w:eastAsiaTheme="minorEastAsia"/>
          <w:b/>
          <w:sz w:val="24"/>
        </w:rPr>
        <w:t>1</w:t>
      </w:r>
      <w:r>
        <w:rPr>
          <w:rFonts w:hint="eastAsia" w:cs="宋体" w:asciiTheme="minorEastAsia" w:hAnsiTheme="minorEastAsia" w:eastAsiaTheme="minorEastAsia"/>
          <w:b/>
          <w:sz w:val="24"/>
          <w:lang w:val="en-US" w:eastAsia="zh-CN"/>
        </w:rPr>
        <w:t>1</w:t>
      </w:r>
      <w:r>
        <w:rPr>
          <w:rFonts w:cs="宋体" w:asciiTheme="minorEastAsia" w:hAnsiTheme="minorEastAsia" w:eastAsiaTheme="minorEastAsia"/>
          <w:b/>
          <w:sz w:val="24"/>
        </w:rPr>
        <w:t>票；反对0票；弃权0票。</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此议案获得通过。</w:t>
      </w:r>
    </w:p>
    <w:p>
      <w:pPr>
        <w:spacing w:line="360" w:lineRule="auto"/>
        <w:ind w:firstLine="480" w:firstLineChars="200"/>
        <w:jc w:val="left"/>
        <w:rPr>
          <w:rFonts w:cs="宋体" w:asciiTheme="minorEastAsia" w:hAnsiTheme="minorEastAsia" w:eastAsiaTheme="minorEastAsia"/>
          <w:sz w:val="24"/>
        </w:rPr>
      </w:pP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（三）审议并批准《关于本公司与江苏苏锡常南部高速公路有限公司（以下简称“苏锡常南部高速公司”）签署委托经营管理协议的议案》。</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同意本公司与苏锡常南部高速公司签署委托管理协议，由本公司受托运营管理苏锡常南部高速公路项目,协议期限自2024年1月1日至2026年4月30日，委托管理费</w:t>
      </w:r>
      <w:r>
        <w:rPr>
          <w:rFonts w:hint="eastAsia" w:cs="宋体" w:asciiTheme="minorEastAsia" w:hAnsiTheme="minorEastAsia" w:eastAsiaTheme="minorEastAsia"/>
          <w:sz w:val="24"/>
          <w:lang w:val="en-US" w:eastAsia="zh-CN"/>
        </w:rPr>
        <w:t>金额为不超过人民币13,268万元，</w:t>
      </w:r>
      <w:r>
        <w:rPr>
          <w:rFonts w:hint="eastAsia" w:cs="宋体" w:asciiTheme="minorEastAsia" w:hAnsiTheme="minorEastAsia" w:eastAsiaTheme="minorEastAsia"/>
          <w:sz w:val="24"/>
        </w:rPr>
        <w:t>其中：2024年1月1日至12月31日不超过人民币</w:t>
      </w:r>
      <w:r>
        <w:rPr>
          <w:rFonts w:hint="eastAsia" w:cs="宋体" w:asciiTheme="minorEastAsia" w:hAnsiTheme="minorEastAsia" w:eastAsiaTheme="minorEastAsia"/>
          <w:sz w:val="24"/>
          <w:lang w:val="en-US" w:eastAsia="zh-CN"/>
        </w:rPr>
        <w:t>5</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val="en-US" w:eastAsia="zh-CN"/>
        </w:rPr>
        <w:t>30</w:t>
      </w:r>
      <w:r>
        <w:rPr>
          <w:rFonts w:hint="eastAsia" w:cs="宋体" w:asciiTheme="minorEastAsia" w:hAnsiTheme="minorEastAsia" w:eastAsiaTheme="minorEastAsia"/>
          <w:sz w:val="24"/>
        </w:rPr>
        <w:t>0万元，2025年1月1日至12月31日不超过人民币</w:t>
      </w:r>
      <w:r>
        <w:rPr>
          <w:rFonts w:hint="eastAsia" w:cs="宋体" w:asciiTheme="minorEastAsia" w:hAnsiTheme="minorEastAsia" w:eastAsiaTheme="minorEastAsia"/>
          <w:sz w:val="24"/>
          <w:lang w:val="en-US" w:eastAsia="zh-CN"/>
        </w:rPr>
        <w:t>5,830</w:t>
      </w:r>
      <w:r>
        <w:rPr>
          <w:rFonts w:hint="eastAsia" w:cs="宋体" w:asciiTheme="minorEastAsia" w:hAnsiTheme="minorEastAsia" w:eastAsiaTheme="minorEastAsia"/>
          <w:sz w:val="24"/>
        </w:rPr>
        <w:t>万元，2026年1月1日至4月30日不超过人民币</w:t>
      </w:r>
      <w:r>
        <w:rPr>
          <w:rFonts w:hint="eastAsia" w:cs="宋体" w:asciiTheme="minorEastAsia" w:hAnsiTheme="minorEastAsia" w:eastAsiaTheme="minorEastAsia"/>
          <w:sz w:val="24"/>
          <w:lang w:val="en-US" w:eastAsia="zh-CN"/>
        </w:rPr>
        <w:t>2</w:t>
      </w:r>
      <w:r>
        <w:rPr>
          <w:rFonts w:hint="eastAsia" w:cs="宋体" w:asciiTheme="minorEastAsia" w:hAnsiTheme="minorEastAsia" w:eastAsiaTheme="minorEastAsia"/>
          <w:sz w:val="24"/>
        </w:rPr>
        <w:t>,</w:t>
      </w:r>
      <w:r>
        <w:rPr>
          <w:rFonts w:hint="eastAsia" w:cs="宋体" w:asciiTheme="minorEastAsia" w:hAnsiTheme="minorEastAsia" w:eastAsiaTheme="minorEastAsia"/>
          <w:sz w:val="24"/>
          <w:lang w:val="en-US" w:eastAsia="zh-CN"/>
        </w:rPr>
        <w:t>138</w:t>
      </w:r>
      <w:r>
        <w:rPr>
          <w:rFonts w:hint="eastAsia" w:cs="宋体" w:asciiTheme="minorEastAsia" w:hAnsiTheme="minorEastAsia" w:eastAsiaTheme="minorEastAsia"/>
          <w:sz w:val="24"/>
        </w:rPr>
        <w:t>万元，并授权公司执行董事处理后续事宜</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rPr>
        <w:t>批准日常关联/持续关连交易公告内容并授权公司秘书姚永嘉先生于协议签订后予以公告。</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表决结果：同意</w:t>
      </w:r>
      <w:r>
        <w:rPr>
          <w:rFonts w:cs="宋体" w:asciiTheme="minorEastAsia" w:hAnsiTheme="minorEastAsia" w:eastAsiaTheme="minorEastAsia"/>
          <w:b/>
          <w:sz w:val="24"/>
        </w:rPr>
        <w:t>11票；反对0票；弃权0票。</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此议案获得通过。</w:t>
      </w:r>
    </w:p>
    <w:p>
      <w:pPr>
        <w:spacing w:line="360" w:lineRule="auto"/>
        <w:ind w:firstLine="480" w:firstLineChars="200"/>
        <w:jc w:val="left"/>
        <w:rPr>
          <w:rFonts w:cs="宋体" w:asciiTheme="minorEastAsia" w:hAnsiTheme="minorEastAsia" w:eastAsiaTheme="minorEastAsia"/>
          <w:sz w:val="24"/>
        </w:rPr>
      </w:pP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（四）审议并批准《关于本公司与江苏省铁路集团有限公司（以下简称“铁集公司”）签署房屋租赁协议的议案》。</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同意本公司与铁集公司签署房屋租赁协议，租赁期自2024年1月1日至2024年12月31日，租金为人民币397.364万元，并授权公司执行董事处理后续事宜。</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表决结果：同意</w:t>
      </w:r>
      <w:r>
        <w:rPr>
          <w:rFonts w:cs="宋体" w:asciiTheme="minorEastAsia" w:hAnsiTheme="minorEastAsia" w:eastAsiaTheme="minorEastAsia"/>
          <w:b/>
          <w:sz w:val="24"/>
        </w:rPr>
        <w:t>11票；反对0票；弃权0票。</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此议案获得通过。</w:t>
      </w:r>
    </w:p>
    <w:p>
      <w:pPr>
        <w:spacing w:line="360" w:lineRule="auto"/>
        <w:ind w:firstLine="480" w:firstLineChars="200"/>
        <w:jc w:val="left"/>
        <w:rPr>
          <w:rFonts w:cs="宋体" w:asciiTheme="minorEastAsia" w:hAnsiTheme="minorEastAsia" w:eastAsiaTheme="minorEastAsia"/>
          <w:sz w:val="24"/>
        </w:rPr>
      </w:pP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五）审议并批准《关于本公司及控股子公司江苏镇丹高速公路有限公司（以下简称“镇丹公司”）、五峰山大桥公司与江苏通行宝智慧交通科技股份有限公司（以下简称“通行宝公司”）就云收费采购项目的日常关联/持续关连交易议案》。</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同意本公司及控股子公司镇丹公司、五峰山大桥公司向通行宝公司采购云收费项目并分别与其签署协议。协议期限均自2024年1月1日至2025年4月30日，本公司交易金额不超过人民币406万元，其中：2024年1月1日至12月31日不超过人民币304万元，2025年1月1日至4月30日不超过人民币102万元；镇丹公司交易金额不超过人民币11万元，其中：2024年1月1日至12月31日不超过人民币8万元，2025年1月1日至4月30日不超过人民币3万元；五峰山大桥公司交易金额不超过人民币11万元，其中：2024年1月1日至12月31日不超过人民币8万元，2025年1月1日至4月30日不超过人民币3万元。</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表决结果：同意</w:t>
      </w:r>
      <w:r>
        <w:rPr>
          <w:rFonts w:cs="宋体" w:asciiTheme="minorEastAsia" w:hAnsiTheme="minorEastAsia" w:eastAsiaTheme="minorEastAsia"/>
          <w:b/>
          <w:sz w:val="24"/>
        </w:rPr>
        <w:t>11票；反对0票；弃权0票。</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此议案获得通过。</w:t>
      </w:r>
    </w:p>
    <w:p>
      <w:pPr>
        <w:spacing w:line="360" w:lineRule="auto"/>
        <w:ind w:firstLine="480" w:firstLineChars="200"/>
        <w:jc w:val="left"/>
        <w:rPr>
          <w:rFonts w:cs="宋体" w:asciiTheme="minorEastAsia" w:hAnsiTheme="minorEastAsia" w:eastAsiaTheme="minorEastAsia"/>
          <w:sz w:val="24"/>
        </w:rPr>
      </w:pP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（六）审议并批准《关于本公司及控股子公司镇丹公司、五峰山大桥公司与南京感动科技有限公司（以下简称“感动科技公司”）就云收费FFT2.0云赋能平台服务项目的日常关联/持续关连交易议案》。</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同意本公司及控股子公司镇丹公司、五峰山</w:t>
      </w:r>
      <w:r>
        <w:rPr>
          <w:rFonts w:hint="eastAsia" w:cs="宋体" w:asciiTheme="minorEastAsia" w:hAnsiTheme="minorEastAsia" w:eastAsiaTheme="minorEastAsia"/>
          <w:sz w:val="24"/>
          <w:lang w:val="en-US" w:eastAsia="zh-CN"/>
        </w:rPr>
        <w:t>大桥</w:t>
      </w:r>
      <w:r>
        <w:rPr>
          <w:rFonts w:hint="eastAsia" w:cs="宋体" w:asciiTheme="minorEastAsia" w:hAnsiTheme="minorEastAsia" w:eastAsiaTheme="minorEastAsia"/>
          <w:sz w:val="24"/>
        </w:rPr>
        <w:t>公司分别与感动科技公司签署协议，由感动科技公司向上述公司提供云收费FFT2.0赋能平台服务，期限均自2024年1月1日至2025年4月30日，本公司交易金额不超过人民币48万元，其中：2024年1月1日至12月31日不超过人民币35.5万元，2025年1月1日至4月30日不超过人民币12.5万元；镇丹公司交易金额不超过人民币2.4万元，其中：2024年1月1日至12月31日不超过人民币1.8万元，2025年1月1日至4月30日不超过人民币0.6万元；五峰山大桥公司交易金额不超过人民币3.6万元，其中：2024年1月1日至12月31日不超过人民币2.7万元，2025年1月1日至4月30日不超过人民币0.9万元。</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表决结果：同意</w:t>
      </w:r>
      <w:r>
        <w:rPr>
          <w:rFonts w:cs="宋体" w:asciiTheme="minorEastAsia" w:hAnsiTheme="minorEastAsia" w:eastAsiaTheme="minorEastAsia"/>
          <w:b/>
          <w:sz w:val="24"/>
        </w:rPr>
        <w:t>11票；反对0票；弃权0票。</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此议案获得通过。</w:t>
      </w:r>
    </w:p>
    <w:p>
      <w:pPr>
        <w:spacing w:line="360" w:lineRule="auto"/>
        <w:ind w:firstLine="480" w:firstLineChars="200"/>
        <w:jc w:val="left"/>
        <w:rPr>
          <w:rFonts w:cs="宋体" w:asciiTheme="minorEastAsia" w:hAnsiTheme="minorEastAsia" w:eastAsiaTheme="minorEastAsia"/>
          <w:sz w:val="24"/>
        </w:rPr>
      </w:pP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（七）审议并批准《关于本公司</w:t>
      </w:r>
      <w:r>
        <w:rPr>
          <w:rFonts w:hint="eastAsia" w:cs="宋体" w:asciiTheme="minorEastAsia" w:hAnsiTheme="minorEastAsia" w:eastAsiaTheme="minorEastAsia"/>
          <w:sz w:val="24"/>
          <w:lang w:val="en-US" w:eastAsia="zh-CN"/>
        </w:rPr>
        <w:t>调整</w:t>
      </w:r>
      <w:r>
        <w:rPr>
          <w:rFonts w:hint="eastAsia" w:cs="宋体" w:asciiTheme="minorEastAsia" w:hAnsiTheme="minorEastAsia" w:eastAsiaTheme="minorEastAsia"/>
          <w:sz w:val="24"/>
        </w:rPr>
        <w:t>江苏现代工程检测有限公司（以下简称“现代检测公司”）</w:t>
      </w:r>
      <w:r>
        <w:rPr>
          <w:rFonts w:hint="eastAsia" w:cs="宋体" w:asciiTheme="minorEastAsia" w:hAnsiTheme="minorEastAsia" w:eastAsiaTheme="minorEastAsia"/>
          <w:sz w:val="24"/>
          <w:lang w:val="en-US" w:eastAsia="zh-CN"/>
        </w:rPr>
        <w:t>房屋</w:t>
      </w:r>
      <w:r>
        <w:rPr>
          <w:rFonts w:hint="eastAsia" w:cs="宋体" w:asciiTheme="minorEastAsia" w:hAnsiTheme="minorEastAsia" w:eastAsiaTheme="minorEastAsia"/>
          <w:sz w:val="24"/>
        </w:rPr>
        <w:t>租赁费的议案》。</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同意本公司与现代检测公司签署房屋租赁补充协议，由现代检测公司</w:t>
      </w:r>
      <w:r>
        <w:rPr>
          <w:rFonts w:hint="eastAsia" w:cs="宋体" w:asciiTheme="minorEastAsia" w:hAnsiTheme="minorEastAsia" w:eastAsiaTheme="minorEastAsia"/>
          <w:sz w:val="24"/>
          <w:lang w:val="en-US" w:eastAsia="zh-CN"/>
        </w:rPr>
        <w:t>出资</w:t>
      </w:r>
      <w:r>
        <w:rPr>
          <w:rFonts w:hint="eastAsia" w:cs="宋体" w:asciiTheme="minorEastAsia" w:hAnsiTheme="minorEastAsia" w:eastAsiaTheme="minorEastAsia"/>
          <w:sz w:val="24"/>
        </w:rPr>
        <w:t>代建其所租赁的本公司位于南京市仙林大道2号房屋的配电房项目，经预算及标前审计确定代建费用为人民币</w:t>
      </w:r>
      <w:r>
        <w:rPr>
          <w:rFonts w:hint="eastAsia" w:cs="宋体" w:asciiTheme="minorEastAsia" w:hAnsiTheme="minorEastAsia" w:eastAsiaTheme="minorEastAsia"/>
          <w:sz w:val="24"/>
          <w:lang w:val="en-US" w:eastAsia="zh-CN"/>
        </w:rPr>
        <w:t>128.38</w:t>
      </w:r>
      <w:r>
        <w:rPr>
          <w:rFonts w:hint="eastAsia" w:cs="宋体" w:asciiTheme="minorEastAsia" w:hAnsiTheme="minorEastAsia" w:eastAsiaTheme="minorEastAsia"/>
          <w:sz w:val="24"/>
        </w:rPr>
        <w:t>万元，经双方协商，将原定租期内租金调整为</w:t>
      </w:r>
      <w:r>
        <w:rPr>
          <w:rFonts w:hint="eastAsia" w:cs="宋体" w:asciiTheme="minorEastAsia" w:hAnsiTheme="minorEastAsia" w:eastAsiaTheme="minorEastAsia"/>
          <w:sz w:val="24"/>
          <w:lang w:val="en-US" w:eastAsia="zh-CN"/>
        </w:rPr>
        <w:t>人民币</w:t>
      </w:r>
      <w:r>
        <w:rPr>
          <w:rFonts w:hint="eastAsia" w:cs="宋体" w:asciiTheme="minorEastAsia" w:hAnsiTheme="minorEastAsia" w:eastAsiaTheme="minorEastAsia"/>
          <w:sz w:val="24"/>
        </w:rPr>
        <w:t>169万元/年；并授权公司执行董事处理后续事宜。</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表决结果：同意</w:t>
      </w:r>
      <w:r>
        <w:rPr>
          <w:rFonts w:cs="宋体" w:asciiTheme="minorEastAsia" w:hAnsiTheme="minorEastAsia" w:eastAsiaTheme="minorEastAsia"/>
          <w:b/>
          <w:sz w:val="24"/>
        </w:rPr>
        <w:t>11票；反对0票；弃权0票。</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此议案获得通过。</w:t>
      </w:r>
    </w:p>
    <w:p>
      <w:pPr>
        <w:spacing w:line="360" w:lineRule="auto"/>
        <w:ind w:firstLine="480" w:firstLineChars="200"/>
        <w:jc w:val="left"/>
        <w:rPr>
          <w:rFonts w:cs="宋体" w:asciiTheme="minorEastAsia" w:hAnsiTheme="minorEastAsia" w:eastAsiaTheme="minorEastAsia"/>
          <w:sz w:val="24"/>
        </w:rPr>
      </w:pP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（八）审议并批准《关于本公司与江苏高速公路信息工程有限公司（以下简称“江苏高信”）就智慧服务区提升项目的日常关联/持续关连交易议案》。</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同意本公司就智慧服务区提升项目与高速信息公司签署协议，由高速信息公司向本公司提供服务区卡口更新改造、经营数据上传及客流识别租赁服务，协议期限自2024年1月1日至2026年12月31日，协议金额不超过人民币480万元。其中：2024年1月1日至2024年12月30日不超过人民币160万元，2025年1月1日至2025年12月30日不超过人民币160万元，2026年1月1日至2026年12月30日不超过人民币160万元。</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表决结果：同意</w:t>
      </w:r>
      <w:r>
        <w:rPr>
          <w:rFonts w:cs="宋体" w:asciiTheme="minorEastAsia" w:hAnsiTheme="minorEastAsia" w:eastAsiaTheme="minorEastAsia"/>
          <w:b/>
          <w:sz w:val="24"/>
        </w:rPr>
        <w:t>11票；反对0票；弃权0票。</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此议案获得通过。</w:t>
      </w:r>
    </w:p>
    <w:p>
      <w:pPr>
        <w:spacing w:line="360" w:lineRule="auto"/>
        <w:ind w:firstLine="480" w:firstLineChars="200"/>
        <w:jc w:val="left"/>
        <w:rPr>
          <w:rFonts w:cs="宋体" w:asciiTheme="minorEastAsia" w:hAnsiTheme="minorEastAsia" w:eastAsiaTheme="minorEastAsia"/>
          <w:sz w:val="24"/>
        </w:rPr>
      </w:pP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（九）审议并批准《关于本公司就茅山服务区超市供货事项与江苏交控商业运营管理有限公司（以下简称“交控商运公司”）的日常关联/持续关连交易议案》。</w:t>
      </w:r>
    </w:p>
    <w:p>
      <w:pPr>
        <w:spacing w:line="360" w:lineRule="auto"/>
        <w:ind w:firstLine="480" w:firstLineChars="200"/>
        <w:jc w:val="left"/>
        <w:rPr>
          <w:rFonts w:cs="宋体" w:asciiTheme="minorEastAsia" w:hAnsiTheme="minorEastAsia" w:eastAsiaTheme="minorEastAsia"/>
          <w:sz w:val="24"/>
        </w:rPr>
      </w:pPr>
      <w:r>
        <w:rPr>
          <w:rFonts w:hint="eastAsia" w:cs="宋体" w:asciiTheme="minorEastAsia" w:hAnsiTheme="minorEastAsia" w:eastAsiaTheme="minorEastAsia"/>
          <w:sz w:val="24"/>
        </w:rPr>
        <w:t>同意本公司与交控商运公司签署合同，由交控商运公司作为供应商向本公司茅山服务区超市供货。合同期限自2024年1月1日至2025年4月30日</w:t>
      </w:r>
      <w:r>
        <w:rPr>
          <w:rFonts w:hint="eastAsia" w:cs="宋体" w:asciiTheme="minorEastAsia" w:hAnsiTheme="minorEastAsia" w:eastAsiaTheme="minorEastAsia"/>
          <w:sz w:val="24"/>
          <w:lang w:eastAsia="zh-CN"/>
        </w:rPr>
        <w:t>，</w:t>
      </w:r>
      <w:r>
        <w:rPr>
          <w:rFonts w:hint="eastAsia" w:cs="宋体" w:asciiTheme="minorEastAsia" w:hAnsiTheme="minorEastAsia" w:eastAsiaTheme="minorEastAsia"/>
          <w:sz w:val="24"/>
          <w:lang w:val="en-US" w:eastAsia="zh-CN"/>
        </w:rPr>
        <w:t>合同金额为不超过人民币711万元。</w:t>
      </w:r>
      <w:r>
        <w:rPr>
          <w:rFonts w:hint="eastAsia" w:cs="宋体" w:asciiTheme="minorEastAsia" w:hAnsiTheme="minorEastAsia" w:eastAsiaTheme="minorEastAsia"/>
          <w:sz w:val="24"/>
        </w:rPr>
        <w:t>其中：2024年1月1日至2024年12月31日交易额度不超过人民币533万元；2025年1月1日至2025年4月30日交易额度不超过人民币178万元。</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表决结果：同意</w:t>
      </w:r>
      <w:r>
        <w:rPr>
          <w:rFonts w:cs="宋体" w:asciiTheme="minorEastAsia" w:hAnsiTheme="minorEastAsia" w:eastAsiaTheme="minorEastAsia"/>
          <w:b/>
          <w:sz w:val="24"/>
        </w:rPr>
        <w:t>11票；反对0票；弃权0票。</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此议案获得通过。</w:t>
      </w:r>
    </w:p>
    <w:p>
      <w:pPr>
        <w:spacing w:line="360" w:lineRule="auto"/>
        <w:ind w:firstLine="482" w:firstLineChars="2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上述第（二）至（九）项日常关联</w:t>
      </w:r>
      <w:r>
        <w:rPr>
          <w:rFonts w:cs="宋体" w:asciiTheme="minorEastAsia" w:hAnsiTheme="minorEastAsia" w:eastAsiaTheme="minorEastAsia"/>
          <w:b/>
          <w:sz w:val="24"/>
        </w:rPr>
        <w:t>/持续</w:t>
      </w:r>
      <w:r>
        <w:rPr>
          <w:rFonts w:hint="eastAsia" w:cs="宋体" w:asciiTheme="minorEastAsia" w:hAnsiTheme="minorEastAsia" w:eastAsiaTheme="minorEastAsia"/>
          <w:b/>
          <w:sz w:val="24"/>
        </w:rPr>
        <w:t>关连交易事项中，日常关联</w:t>
      </w:r>
      <w:r>
        <w:rPr>
          <w:rFonts w:cs="宋体" w:asciiTheme="minorEastAsia" w:hAnsiTheme="minorEastAsia" w:eastAsiaTheme="minorEastAsia"/>
          <w:b/>
          <w:sz w:val="24"/>
        </w:rPr>
        <w:t>/</w:t>
      </w:r>
      <w:r>
        <w:rPr>
          <w:rFonts w:hint="eastAsia" w:cs="宋体" w:asciiTheme="minorEastAsia" w:hAnsiTheme="minorEastAsia" w:eastAsiaTheme="minorEastAsia"/>
          <w:b/>
          <w:sz w:val="24"/>
        </w:rPr>
        <w:t>关连董事徐海北先生、王颖健先生回避表决，其余各董事均可投票。</w:t>
      </w:r>
    </w:p>
    <w:p>
      <w:pPr>
        <w:pStyle w:val="5"/>
        <w:spacing w:line="360" w:lineRule="auto"/>
        <w:ind w:firstLine="482"/>
        <w:jc w:val="left"/>
        <w:rPr>
          <w:rFonts w:cs="宋体" w:asciiTheme="minorEastAsia" w:hAnsiTheme="minorEastAsia" w:eastAsiaTheme="minorEastAsia"/>
          <w:b/>
          <w:sz w:val="24"/>
        </w:rPr>
      </w:pPr>
      <w:r>
        <w:rPr>
          <w:rFonts w:hint="eastAsia" w:cs="宋体" w:asciiTheme="minorEastAsia" w:hAnsiTheme="minorEastAsia" w:eastAsiaTheme="minorEastAsia"/>
          <w:b/>
          <w:sz w:val="24"/>
        </w:rPr>
        <w:t>所有董事（包括独立非执行董事）认为上述（二）至（九）项关联</w:t>
      </w:r>
      <w:r>
        <w:rPr>
          <w:rFonts w:cs="宋体" w:asciiTheme="minorEastAsia" w:hAnsiTheme="minorEastAsia" w:eastAsiaTheme="minorEastAsia"/>
          <w:b/>
          <w:sz w:val="24"/>
        </w:rPr>
        <w:t>/</w:t>
      </w:r>
      <w:r>
        <w:rPr>
          <w:rFonts w:hint="eastAsia" w:cs="宋体" w:asciiTheme="minorEastAsia" w:hAnsiTheme="minorEastAsia" w:eastAsiaTheme="minorEastAsia"/>
          <w:b/>
          <w:sz w:val="24"/>
        </w:rPr>
        <w:t>关连交易事项是在本公司日常业务中进行，属一般商业条款，交易条款公平合理，公司的收入、利润对该类交易并不存在依赖性，也不存在影响本公司作为上市公司独立性的情形，对本公司并无负面影响，不会损害本公司及非关联股东利益，尤其是中小股东的利益，且符合本公司及其股东的整体利益。</w:t>
      </w:r>
    </w:p>
    <w:p>
      <w:pPr>
        <w:pStyle w:val="5"/>
        <w:spacing w:line="360" w:lineRule="auto"/>
        <w:ind w:firstLine="482"/>
        <w:jc w:val="left"/>
        <w:rPr>
          <w:rFonts w:hint="eastAsia" w:cs="宋体" w:asciiTheme="minorEastAsia" w:hAnsiTheme="minorEastAsia" w:eastAsiaTheme="minorEastAsia"/>
          <w:b/>
          <w:sz w:val="24"/>
          <w:szCs w:val="24"/>
        </w:rPr>
      </w:pPr>
      <w:r>
        <w:rPr>
          <w:rFonts w:hint="eastAsia" w:cs="宋体" w:asciiTheme="minorEastAsia" w:hAnsiTheme="minorEastAsia" w:eastAsiaTheme="minorEastAsia"/>
          <w:b/>
          <w:sz w:val="24"/>
          <w:szCs w:val="24"/>
        </w:rPr>
        <w:t>根据上海证券交易所股票上市规则，上述（二）至（九）项关联交易事项未达到上市公司最近一期经审计净资产绝对值0.5%以上，亦未达到上海证券交易所股票上市规则关联交易的披露标准。</w:t>
      </w:r>
    </w:p>
    <w:p>
      <w:pPr>
        <w:pStyle w:val="5"/>
        <w:spacing w:line="360" w:lineRule="auto"/>
        <w:ind w:firstLine="482"/>
        <w:jc w:val="left"/>
        <w:rPr>
          <w:rFonts w:hint="eastAsia" w:cs="宋体" w:asciiTheme="minorEastAsia" w:hAnsiTheme="minorEastAsia" w:eastAsiaTheme="minorEastAsia"/>
          <w:b/>
          <w:bCs/>
          <w:sz w:val="24"/>
          <w:szCs w:val="24"/>
        </w:rPr>
      </w:pPr>
      <w:r>
        <w:rPr>
          <w:rFonts w:hint="eastAsia" w:cs="宋体" w:asciiTheme="minorEastAsia" w:hAnsiTheme="minorEastAsia" w:eastAsiaTheme="minorEastAsia"/>
          <w:b/>
          <w:bCs/>
          <w:sz w:val="24"/>
          <w:szCs w:val="24"/>
        </w:rPr>
        <w:t>根据香港联合交易所有限公司证券上市规则（以下简称</w:t>
      </w:r>
      <w:r>
        <w:rPr>
          <w:rFonts w:hint="eastAsia" w:cs="宋体" w:asciiTheme="minorEastAsia" w:hAnsiTheme="minorEastAsia" w:eastAsiaTheme="minorEastAsia"/>
          <w:b/>
          <w:bCs/>
          <w:sz w:val="24"/>
          <w:szCs w:val="24"/>
          <w:lang w:eastAsia="zh-CN"/>
        </w:rPr>
        <w:t>“</w:t>
      </w:r>
      <w:r>
        <w:rPr>
          <w:rFonts w:hint="eastAsia" w:cs="宋体" w:asciiTheme="minorEastAsia" w:hAnsiTheme="minorEastAsia" w:eastAsiaTheme="minorEastAsia"/>
          <w:b/>
          <w:bCs/>
          <w:sz w:val="24"/>
          <w:szCs w:val="24"/>
        </w:rPr>
        <w:t>香港上市规则</w:t>
      </w:r>
      <w:r>
        <w:rPr>
          <w:rFonts w:hint="eastAsia" w:cs="宋体" w:asciiTheme="minorEastAsia" w:hAnsiTheme="minorEastAsia" w:eastAsiaTheme="minorEastAsia"/>
          <w:b/>
          <w:bCs/>
          <w:sz w:val="24"/>
          <w:szCs w:val="24"/>
          <w:lang w:eastAsia="zh-CN"/>
        </w:rPr>
        <w:t>”</w:t>
      </w:r>
      <w:r>
        <w:rPr>
          <w:rFonts w:hint="eastAsia" w:cs="宋体" w:asciiTheme="minorEastAsia" w:hAnsiTheme="minorEastAsia" w:eastAsiaTheme="minorEastAsia"/>
          <w:b/>
          <w:bCs/>
          <w:sz w:val="24"/>
          <w:szCs w:val="24"/>
        </w:rPr>
        <w:t>）第14A.81条，上述（二）至（三）项交易需合并计算。按香港上市规则第14.07条所计算之比率均高于0.1%但低于5%，故根据香港上市规则第14A.76(2)(a)条只须符合公告规定，但无须在股东大会上获得独立股东批准。上述交易亦须符合香港上市规则第14A.55至14A.59条年度审核的规定。上述（四）至（九）项交易按香港上市规则第14.07条所计算之比率均低于0.1%，故根据香港上市规则第14A.76(1)(a)条获完全豁免公告、独立股东批准规定。</w:t>
      </w:r>
    </w:p>
    <w:p>
      <w:pPr>
        <w:pStyle w:val="5"/>
        <w:spacing w:line="360" w:lineRule="auto"/>
        <w:ind w:firstLine="482"/>
        <w:jc w:val="left"/>
        <w:rPr>
          <w:rFonts w:hint="eastAsia" w:cs="宋体" w:asciiTheme="minorEastAsia" w:hAnsiTheme="minorEastAsia" w:eastAsiaTheme="minorEastAsia"/>
          <w:b/>
          <w:bCs/>
          <w:sz w:val="24"/>
          <w:szCs w:val="24"/>
        </w:rPr>
      </w:pPr>
    </w:p>
    <w:p>
      <w:pPr>
        <w:pStyle w:val="5"/>
        <w:spacing w:line="360" w:lineRule="auto"/>
        <w:ind w:firstLine="482"/>
        <w:jc w:val="left"/>
        <w:rPr>
          <w:rFonts w:cs="宋体" w:asciiTheme="minorEastAsia" w:hAnsiTheme="minorEastAsia" w:eastAsiaTheme="minorEastAsia"/>
          <w:sz w:val="24"/>
          <w:szCs w:val="24"/>
        </w:rPr>
      </w:pPr>
      <w:r>
        <w:rPr>
          <w:rFonts w:hint="eastAsia" w:cs="宋体" w:asciiTheme="minorEastAsia" w:hAnsiTheme="minorEastAsia" w:eastAsiaTheme="minorEastAsia"/>
          <w:b/>
          <w:sz w:val="24"/>
        </w:rPr>
        <w:t>特此公告。</w:t>
      </w:r>
    </w:p>
    <w:p>
      <w:pPr>
        <w:pStyle w:val="2"/>
        <w:spacing w:before="0" w:line="360" w:lineRule="auto"/>
        <w:ind w:left="0" w:firstLine="480" w:firstLineChars="200"/>
        <w:jc w:val="left"/>
        <w:rPr>
          <w:rFonts w:cs="宋体" w:asciiTheme="minorEastAsia" w:hAnsiTheme="minorEastAsia" w:eastAsiaTheme="minorEastAsia"/>
          <w:sz w:val="24"/>
          <w:szCs w:val="24"/>
        </w:rPr>
      </w:pPr>
    </w:p>
    <w:p>
      <w:pPr>
        <w:adjustRightInd w:val="0"/>
        <w:spacing w:line="360" w:lineRule="auto"/>
        <w:ind w:firstLine="3855" w:firstLineChars="1600"/>
        <w:jc w:val="left"/>
        <w:rPr>
          <w:rFonts w:cs="宋体" w:asciiTheme="minorEastAsia" w:hAnsiTheme="minorEastAsia" w:eastAsiaTheme="minorEastAsia"/>
          <w:b/>
          <w:sz w:val="24"/>
        </w:rPr>
      </w:pPr>
      <w:r>
        <w:rPr>
          <w:rFonts w:hint="eastAsia" w:cs="宋体" w:asciiTheme="minorEastAsia" w:hAnsiTheme="minorEastAsia" w:eastAsiaTheme="minorEastAsia"/>
          <w:b/>
          <w:sz w:val="24"/>
        </w:rPr>
        <w:t>江苏宁沪高速公路股份有限公司董事会</w:t>
      </w:r>
    </w:p>
    <w:p>
      <w:pPr>
        <w:widowControl/>
        <w:spacing w:line="360" w:lineRule="auto"/>
        <w:ind w:firstLine="482" w:firstLineChars="200"/>
        <w:jc w:val="left"/>
        <w:rPr>
          <w:rFonts w:asciiTheme="minorEastAsia" w:hAnsiTheme="minorEastAsia" w:eastAsiaTheme="minorEastAsia"/>
          <w:sz w:val="24"/>
        </w:rPr>
      </w:pPr>
      <w:r>
        <w:rPr>
          <w:rFonts w:hint="eastAsia" w:cs="宋体" w:asciiTheme="minorEastAsia" w:hAnsiTheme="minorEastAsia" w:eastAsiaTheme="minorEastAsia"/>
          <w:b/>
          <w:sz w:val="24"/>
        </w:rPr>
        <w:t xml:space="preserve">                                       二〇二三年十二月二十</w:t>
      </w:r>
      <w:r>
        <w:rPr>
          <w:rFonts w:hint="eastAsia" w:cs="宋体" w:asciiTheme="minorEastAsia" w:hAnsiTheme="minorEastAsia" w:eastAsiaTheme="minorEastAsia"/>
          <w:b/>
          <w:sz w:val="24"/>
          <w:lang w:val="en-US" w:eastAsia="zh-CN"/>
        </w:rPr>
        <w:t>七</w:t>
      </w:r>
      <w:r>
        <w:rPr>
          <w:rFonts w:hint="eastAsia" w:cs="宋体" w:asciiTheme="minorEastAsia" w:hAnsiTheme="minorEastAsia" w:eastAsiaTheme="minorEastAsia"/>
          <w:b/>
          <w:sz w:val="24"/>
        </w:rPr>
        <w:t>日</w:t>
      </w:r>
    </w:p>
    <w:p>
      <w:pPr>
        <w:pStyle w:val="2"/>
        <w:spacing w:before="0" w:line="360" w:lineRule="auto"/>
        <w:ind w:left="0" w:firstLine="200"/>
        <w:jc w:val="left"/>
        <w:rPr>
          <w:rFonts w:asciiTheme="minorEastAsia" w:hAnsiTheme="minorEastAsia" w:eastAsiaTheme="minorEastAsia"/>
          <w:sz w:val="24"/>
          <w:szCs w:val="24"/>
        </w:rPr>
      </w:pPr>
    </w:p>
    <w:sectPr>
      <w:footerReference r:id="rId3" w:type="default"/>
      <w:footerReference r:id="rId4" w:type="even"/>
      <w:pgSz w:w="11906" w:h="16838"/>
      <w:pgMar w:top="1134" w:right="1531" w:bottom="1134" w:left="1587"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4081989"/>
    </w:sdtPr>
    <w:sdtContent>
      <w:p>
        <w:pPr>
          <w:pStyle w:val="9"/>
          <w:jc w:val="center"/>
        </w:pPr>
        <w:r>
          <w:fldChar w:fldCharType="begin"/>
        </w:r>
        <w:r>
          <w:instrText xml:space="preserve"> PAGE   \* MERGEFORMAT </w:instrText>
        </w:r>
        <w:r>
          <w:fldChar w:fldCharType="separate"/>
        </w:r>
        <w:r>
          <w:rPr>
            <w:lang w:val="zh-CN"/>
          </w:rPr>
          <w:t>5</w:t>
        </w:r>
        <w:r>
          <w:fldChar w:fldCharType="end"/>
        </w:r>
      </w:p>
    </w:sdtContent>
  </w:sdt>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6"/>
      </w:rPr>
    </w:pPr>
    <w:r>
      <w:rPr>
        <w:rStyle w:val="16"/>
      </w:rPr>
      <w:fldChar w:fldCharType="begin"/>
    </w:r>
    <w:r>
      <w:rPr>
        <w:rStyle w:val="16"/>
      </w:rPr>
      <w:instrText xml:space="preserve">PAGE  </w:instrText>
    </w:r>
    <w:r>
      <w:rPr>
        <w:rStyle w:val="16"/>
      </w:rPr>
      <w:fldChar w:fldCharType="separate"/>
    </w:r>
    <w:r>
      <w:rPr>
        <w:rStyle w:val="16"/>
      </w:rPr>
      <w:t>13</w:t>
    </w:r>
    <w:r>
      <w:rPr>
        <w:rStyle w:val="16"/>
      </w:rPr>
      <w:fldChar w:fldCharType="end"/>
    </w:r>
  </w:p>
  <w:p>
    <w:pPr>
      <w:pStyle w:val="9"/>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movePersonalInformation/>
  <w:bordersDoNotSurroundHeader w:val="1"/>
  <w:bordersDoNotSurroundFooter w:val="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lientNumber" w:val="999984"/>
    <w:docVar w:name="commondata" w:val="eyJoZGlkIjoiM2NmMmIwMWIxYzAyZmZiMWZlOTY3NTcxZmU2NzhhZTEifQ=="/>
    <w:docVar w:name="DocIDAuthor" w:val="True"/>
    <w:docVar w:name="DocIDClientMatter" w:val="False"/>
    <w:docVar w:name="DocIDDate" w:val="True"/>
    <w:docVar w:name="DocIDFirstPageFooter" w:val="True"/>
    <w:docVar w:name="DocIDLibrary" w:val="True"/>
    <w:docVar w:name="DocIDTime" w:val="True"/>
    <w:docVar w:name="DocIDType" w:val="FirstPageOnly"/>
    <w:docVar w:name="DocIDTypist" w:val="False"/>
    <w:docVar w:name="MatterNumber" w:val="22532"/>
  </w:docVars>
  <w:rsids>
    <w:rsidRoot w:val="001155E7"/>
    <w:rsid w:val="00002620"/>
    <w:rsid w:val="000049B8"/>
    <w:rsid w:val="00005496"/>
    <w:rsid w:val="0000584F"/>
    <w:rsid w:val="00005E2E"/>
    <w:rsid w:val="00007A25"/>
    <w:rsid w:val="0001102C"/>
    <w:rsid w:val="0001126D"/>
    <w:rsid w:val="00016757"/>
    <w:rsid w:val="0001765A"/>
    <w:rsid w:val="0001785A"/>
    <w:rsid w:val="00017A6F"/>
    <w:rsid w:val="000219D2"/>
    <w:rsid w:val="00023DAA"/>
    <w:rsid w:val="00027911"/>
    <w:rsid w:val="00034190"/>
    <w:rsid w:val="00034B5F"/>
    <w:rsid w:val="00035221"/>
    <w:rsid w:val="0003783F"/>
    <w:rsid w:val="00040BA4"/>
    <w:rsid w:val="0004264D"/>
    <w:rsid w:val="0004277A"/>
    <w:rsid w:val="000441F6"/>
    <w:rsid w:val="00047746"/>
    <w:rsid w:val="00050C3B"/>
    <w:rsid w:val="00052384"/>
    <w:rsid w:val="000526CF"/>
    <w:rsid w:val="00052CD1"/>
    <w:rsid w:val="00053588"/>
    <w:rsid w:val="00054D39"/>
    <w:rsid w:val="00055039"/>
    <w:rsid w:val="000556FF"/>
    <w:rsid w:val="00056857"/>
    <w:rsid w:val="000578C0"/>
    <w:rsid w:val="00061954"/>
    <w:rsid w:val="00062157"/>
    <w:rsid w:val="00062AF9"/>
    <w:rsid w:val="00063A61"/>
    <w:rsid w:val="0006475D"/>
    <w:rsid w:val="00065DBC"/>
    <w:rsid w:val="000662A2"/>
    <w:rsid w:val="000675FE"/>
    <w:rsid w:val="000704FA"/>
    <w:rsid w:val="00071F14"/>
    <w:rsid w:val="00075A6A"/>
    <w:rsid w:val="00081055"/>
    <w:rsid w:val="0008340A"/>
    <w:rsid w:val="00085196"/>
    <w:rsid w:val="00085A31"/>
    <w:rsid w:val="00085E52"/>
    <w:rsid w:val="000868C5"/>
    <w:rsid w:val="00087F85"/>
    <w:rsid w:val="0009122F"/>
    <w:rsid w:val="00091358"/>
    <w:rsid w:val="000918C8"/>
    <w:rsid w:val="0009324F"/>
    <w:rsid w:val="00093676"/>
    <w:rsid w:val="00095F9E"/>
    <w:rsid w:val="000961BA"/>
    <w:rsid w:val="00096509"/>
    <w:rsid w:val="00097CBB"/>
    <w:rsid w:val="000A2E90"/>
    <w:rsid w:val="000A468D"/>
    <w:rsid w:val="000A4C65"/>
    <w:rsid w:val="000A4D5E"/>
    <w:rsid w:val="000A592F"/>
    <w:rsid w:val="000B1866"/>
    <w:rsid w:val="000B3998"/>
    <w:rsid w:val="000B3E86"/>
    <w:rsid w:val="000C03A3"/>
    <w:rsid w:val="000C2825"/>
    <w:rsid w:val="000C2BAC"/>
    <w:rsid w:val="000C4C63"/>
    <w:rsid w:val="000C4D4B"/>
    <w:rsid w:val="000C52EB"/>
    <w:rsid w:val="000D1A13"/>
    <w:rsid w:val="000D257A"/>
    <w:rsid w:val="000D2AE7"/>
    <w:rsid w:val="000D5ABB"/>
    <w:rsid w:val="000D5F1A"/>
    <w:rsid w:val="000D6282"/>
    <w:rsid w:val="000D79B9"/>
    <w:rsid w:val="000E092A"/>
    <w:rsid w:val="000E3D93"/>
    <w:rsid w:val="000E54EA"/>
    <w:rsid w:val="000F0AAE"/>
    <w:rsid w:val="000F2496"/>
    <w:rsid w:val="000F359A"/>
    <w:rsid w:val="000F3858"/>
    <w:rsid w:val="000F7927"/>
    <w:rsid w:val="00100B58"/>
    <w:rsid w:val="00102B2C"/>
    <w:rsid w:val="00103459"/>
    <w:rsid w:val="001048EB"/>
    <w:rsid w:val="00104EAB"/>
    <w:rsid w:val="00111BA8"/>
    <w:rsid w:val="00112BE4"/>
    <w:rsid w:val="0011478C"/>
    <w:rsid w:val="001155E7"/>
    <w:rsid w:val="00115EC1"/>
    <w:rsid w:val="00116081"/>
    <w:rsid w:val="00117179"/>
    <w:rsid w:val="00120664"/>
    <w:rsid w:val="00122022"/>
    <w:rsid w:val="0012282C"/>
    <w:rsid w:val="00123339"/>
    <w:rsid w:val="00125CB3"/>
    <w:rsid w:val="00131852"/>
    <w:rsid w:val="00132F83"/>
    <w:rsid w:val="00134E99"/>
    <w:rsid w:val="0013597A"/>
    <w:rsid w:val="00135BC3"/>
    <w:rsid w:val="00136991"/>
    <w:rsid w:val="001377DF"/>
    <w:rsid w:val="001429A7"/>
    <w:rsid w:val="00144BCE"/>
    <w:rsid w:val="001459AD"/>
    <w:rsid w:val="00147739"/>
    <w:rsid w:val="0015081A"/>
    <w:rsid w:val="001509BC"/>
    <w:rsid w:val="0015152F"/>
    <w:rsid w:val="00154752"/>
    <w:rsid w:val="00155541"/>
    <w:rsid w:val="0016175F"/>
    <w:rsid w:val="00162B1D"/>
    <w:rsid w:val="001646E8"/>
    <w:rsid w:val="001663CB"/>
    <w:rsid w:val="001677F8"/>
    <w:rsid w:val="00172E9E"/>
    <w:rsid w:val="00177EFB"/>
    <w:rsid w:val="00180024"/>
    <w:rsid w:val="00183028"/>
    <w:rsid w:val="00191209"/>
    <w:rsid w:val="0019168E"/>
    <w:rsid w:val="001922F0"/>
    <w:rsid w:val="00192C8E"/>
    <w:rsid w:val="00192FC7"/>
    <w:rsid w:val="00193393"/>
    <w:rsid w:val="001940B8"/>
    <w:rsid w:val="001971A5"/>
    <w:rsid w:val="001A3D57"/>
    <w:rsid w:val="001A5BDE"/>
    <w:rsid w:val="001A6F57"/>
    <w:rsid w:val="001B1BCE"/>
    <w:rsid w:val="001B35DC"/>
    <w:rsid w:val="001B56D0"/>
    <w:rsid w:val="001B62FA"/>
    <w:rsid w:val="001B7836"/>
    <w:rsid w:val="001C1E80"/>
    <w:rsid w:val="001C4325"/>
    <w:rsid w:val="001C49DE"/>
    <w:rsid w:val="001C5BD3"/>
    <w:rsid w:val="001C6A7F"/>
    <w:rsid w:val="001D1E44"/>
    <w:rsid w:val="001D26C5"/>
    <w:rsid w:val="001D2822"/>
    <w:rsid w:val="001D288C"/>
    <w:rsid w:val="001D6675"/>
    <w:rsid w:val="001D7F02"/>
    <w:rsid w:val="001E4044"/>
    <w:rsid w:val="001E4403"/>
    <w:rsid w:val="001E49EB"/>
    <w:rsid w:val="001E51EB"/>
    <w:rsid w:val="001E6D72"/>
    <w:rsid w:val="001E6FA1"/>
    <w:rsid w:val="001E71C0"/>
    <w:rsid w:val="001F0180"/>
    <w:rsid w:val="001F0626"/>
    <w:rsid w:val="001F1315"/>
    <w:rsid w:val="001F155F"/>
    <w:rsid w:val="001F16BD"/>
    <w:rsid w:val="001F2E2E"/>
    <w:rsid w:val="001F4AA5"/>
    <w:rsid w:val="001F5319"/>
    <w:rsid w:val="001F5B83"/>
    <w:rsid w:val="001F5DF3"/>
    <w:rsid w:val="001F771E"/>
    <w:rsid w:val="00200429"/>
    <w:rsid w:val="00201B70"/>
    <w:rsid w:val="00203707"/>
    <w:rsid w:val="0020484C"/>
    <w:rsid w:val="002057CE"/>
    <w:rsid w:val="00210E09"/>
    <w:rsid w:val="00211C7E"/>
    <w:rsid w:val="002126BF"/>
    <w:rsid w:val="00212D3B"/>
    <w:rsid w:val="0021500E"/>
    <w:rsid w:val="0021654F"/>
    <w:rsid w:val="00216AA0"/>
    <w:rsid w:val="00216E01"/>
    <w:rsid w:val="002207CF"/>
    <w:rsid w:val="00222B18"/>
    <w:rsid w:val="00222EE0"/>
    <w:rsid w:val="0022314C"/>
    <w:rsid w:val="002247D3"/>
    <w:rsid w:val="00225B27"/>
    <w:rsid w:val="0023118C"/>
    <w:rsid w:val="002314A5"/>
    <w:rsid w:val="00231561"/>
    <w:rsid w:val="002315C1"/>
    <w:rsid w:val="002335D7"/>
    <w:rsid w:val="002369D3"/>
    <w:rsid w:val="00236D8E"/>
    <w:rsid w:val="002410E4"/>
    <w:rsid w:val="00243E8F"/>
    <w:rsid w:val="002448B2"/>
    <w:rsid w:val="00252AF1"/>
    <w:rsid w:val="00252B07"/>
    <w:rsid w:val="00254B71"/>
    <w:rsid w:val="002607C6"/>
    <w:rsid w:val="002623BC"/>
    <w:rsid w:val="00263363"/>
    <w:rsid w:val="00265543"/>
    <w:rsid w:val="002667BC"/>
    <w:rsid w:val="00272E63"/>
    <w:rsid w:val="00273EA6"/>
    <w:rsid w:val="00274A31"/>
    <w:rsid w:val="00276069"/>
    <w:rsid w:val="002761D8"/>
    <w:rsid w:val="002765A6"/>
    <w:rsid w:val="002768C7"/>
    <w:rsid w:val="00277121"/>
    <w:rsid w:val="00277989"/>
    <w:rsid w:val="002801E7"/>
    <w:rsid w:val="00280544"/>
    <w:rsid w:val="002809AE"/>
    <w:rsid w:val="00281261"/>
    <w:rsid w:val="00282094"/>
    <w:rsid w:val="002825E4"/>
    <w:rsid w:val="0028341C"/>
    <w:rsid w:val="0028581E"/>
    <w:rsid w:val="00290175"/>
    <w:rsid w:val="00290F26"/>
    <w:rsid w:val="00291B59"/>
    <w:rsid w:val="00291BAB"/>
    <w:rsid w:val="002931D1"/>
    <w:rsid w:val="00293E03"/>
    <w:rsid w:val="002976C5"/>
    <w:rsid w:val="00297991"/>
    <w:rsid w:val="002A00E1"/>
    <w:rsid w:val="002A062B"/>
    <w:rsid w:val="002A1F3A"/>
    <w:rsid w:val="002A25DD"/>
    <w:rsid w:val="002A3B46"/>
    <w:rsid w:val="002A44CE"/>
    <w:rsid w:val="002A5130"/>
    <w:rsid w:val="002A5C98"/>
    <w:rsid w:val="002A77F2"/>
    <w:rsid w:val="002A7EAB"/>
    <w:rsid w:val="002B004E"/>
    <w:rsid w:val="002B0E7C"/>
    <w:rsid w:val="002B140D"/>
    <w:rsid w:val="002B1826"/>
    <w:rsid w:val="002B524C"/>
    <w:rsid w:val="002C1757"/>
    <w:rsid w:val="002C18ED"/>
    <w:rsid w:val="002C5DBE"/>
    <w:rsid w:val="002D00EC"/>
    <w:rsid w:val="002D365E"/>
    <w:rsid w:val="002D40F8"/>
    <w:rsid w:val="002D43F8"/>
    <w:rsid w:val="002D5D14"/>
    <w:rsid w:val="002D5F15"/>
    <w:rsid w:val="002D64C8"/>
    <w:rsid w:val="002E01A9"/>
    <w:rsid w:val="002E33A0"/>
    <w:rsid w:val="002E45AA"/>
    <w:rsid w:val="002E704C"/>
    <w:rsid w:val="002F09F9"/>
    <w:rsid w:val="002F25EC"/>
    <w:rsid w:val="00300876"/>
    <w:rsid w:val="00300ED7"/>
    <w:rsid w:val="0030175C"/>
    <w:rsid w:val="0030381B"/>
    <w:rsid w:val="003038D1"/>
    <w:rsid w:val="00303DB1"/>
    <w:rsid w:val="00304EAC"/>
    <w:rsid w:val="00305305"/>
    <w:rsid w:val="003060DF"/>
    <w:rsid w:val="00306209"/>
    <w:rsid w:val="00307A78"/>
    <w:rsid w:val="00312E5A"/>
    <w:rsid w:val="00314AC1"/>
    <w:rsid w:val="0032199A"/>
    <w:rsid w:val="00321F71"/>
    <w:rsid w:val="00323507"/>
    <w:rsid w:val="00326D36"/>
    <w:rsid w:val="00326EC9"/>
    <w:rsid w:val="00331EB7"/>
    <w:rsid w:val="00331EE7"/>
    <w:rsid w:val="00332A81"/>
    <w:rsid w:val="0033500C"/>
    <w:rsid w:val="00335ACF"/>
    <w:rsid w:val="003369AC"/>
    <w:rsid w:val="003375CB"/>
    <w:rsid w:val="0034109E"/>
    <w:rsid w:val="00343877"/>
    <w:rsid w:val="003476FE"/>
    <w:rsid w:val="00354242"/>
    <w:rsid w:val="003549C9"/>
    <w:rsid w:val="00354F35"/>
    <w:rsid w:val="003611B2"/>
    <w:rsid w:val="0036343D"/>
    <w:rsid w:val="00363BA0"/>
    <w:rsid w:val="003643F9"/>
    <w:rsid w:val="00366AFE"/>
    <w:rsid w:val="0037028E"/>
    <w:rsid w:val="003707E9"/>
    <w:rsid w:val="00371B54"/>
    <w:rsid w:val="00371C0B"/>
    <w:rsid w:val="00371EE3"/>
    <w:rsid w:val="0037240B"/>
    <w:rsid w:val="0037494C"/>
    <w:rsid w:val="00375262"/>
    <w:rsid w:val="00376548"/>
    <w:rsid w:val="00377599"/>
    <w:rsid w:val="00381FE7"/>
    <w:rsid w:val="00383402"/>
    <w:rsid w:val="00384250"/>
    <w:rsid w:val="00384B47"/>
    <w:rsid w:val="00386988"/>
    <w:rsid w:val="00390F5C"/>
    <w:rsid w:val="0039121B"/>
    <w:rsid w:val="00392C9D"/>
    <w:rsid w:val="003957AD"/>
    <w:rsid w:val="003A0E93"/>
    <w:rsid w:val="003A78CC"/>
    <w:rsid w:val="003A7AD7"/>
    <w:rsid w:val="003A7F1F"/>
    <w:rsid w:val="003B3357"/>
    <w:rsid w:val="003B3E1C"/>
    <w:rsid w:val="003B4209"/>
    <w:rsid w:val="003B664C"/>
    <w:rsid w:val="003B6A60"/>
    <w:rsid w:val="003B7E81"/>
    <w:rsid w:val="003C0214"/>
    <w:rsid w:val="003C0344"/>
    <w:rsid w:val="003C157F"/>
    <w:rsid w:val="003C4EA7"/>
    <w:rsid w:val="003C6F1A"/>
    <w:rsid w:val="003C750D"/>
    <w:rsid w:val="003C764D"/>
    <w:rsid w:val="003D15F5"/>
    <w:rsid w:val="003D2278"/>
    <w:rsid w:val="003D46D2"/>
    <w:rsid w:val="003D54D8"/>
    <w:rsid w:val="003D5ABE"/>
    <w:rsid w:val="003D5C6C"/>
    <w:rsid w:val="003E0E50"/>
    <w:rsid w:val="003E4759"/>
    <w:rsid w:val="003E53E2"/>
    <w:rsid w:val="003F154A"/>
    <w:rsid w:val="003F31FA"/>
    <w:rsid w:val="003F5076"/>
    <w:rsid w:val="003F52BC"/>
    <w:rsid w:val="003F5B6C"/>
    <w:rsid w:val="003F6E06"/>
    <w:rsid w:val="003F6ED8"/>
    <w:rsid w:val="00400DAE"/>
    <w:rsid w:val="0040201A"/>
    <w:rsid w:val="00402726"/>
    <w:rsid w:val="0040364E"/>
    <w:rsid w:val="00403C1F"/>
    <w:rsid w:val="00405105"/>
    <w:rsid w:val="00405FDF"/>
    <w:rsid w:val="00407059"/>
    <w:rsid w:val="004074B8"/>
    <w:rsid w:val="00407B8B"/>
    <w:rsid w:val="00411BDC"/>
    <w:rsid w:val="004125DD"/>
    <w:rsid w:val="00414AE4"/>
    <w:rsid w:val="00416009"/>
    <w:rsid w:val="0041614E"/>
    <w:rsid w:val="00420D99"/>
    <w:rsid w:val="00421468"/>
    <w:rsid w:val="004217D7"/>
    <w:rsid w:val="00421EAE"/>
    <w:rsid w:val="00423E08"/>
    <w:rsid w:val="0042425D"/>
    <w:rsid w:val="0042607D"/>
    <w:rsid w:val="00427099"/>
    <w:rsid w:val="00431219"/>
    <w:rsid w:val="00431BC7"/>
    <w:rsid w:val="004361E6"/>
    <w:rsid w:val="004420C3"/>
    <w:rsid w:val="004469B2"/>
    <w:rsid w:val="00452254"/>
    <w:rsid w:val="00452F56"/>
    <w:rsid w:val="00454D3C"/>
    <w:rsid w:val="004628D0"/>
    <w:rsid w:val="0046461E"/>
    <w:rsid w:val="004652E0"/>
    <w:rsid w:val="00466992"/>
    <w:rsid w:val="00466C2E"/>
    <w:rsid w:val="004675DB"/>
    <w:rsid w:val="00467CA1"/>
    <w:rsid w:val="00473794"/>
    <w:rsid w:val="00474D1D"/>
    <w:rsid w:val="00475917"/>
    <w:rsid w:val="00475FAD"/>
    <w:rsid w:val="00477544"/>
    <w:rsid w:val="00480100"/>
    <w:rsid w:val="004801D1"/>
    <w:rsid w:val="004828F4"/>
    <w:rsid w:val="00483D94"/>
    <w:rsid w:val="00487562"/>
    <w:rsid w:val="00492784"/>
    <w:rsid w:val="00493113"/>
    <w:rsid w:val="004934F0"/>
    <w:rsid w:val="0049391E"/>
    <w:rsid w:val="004946D0"/>
    <w:rsid w:val="004967FD"/>
    <w:rsid w:val="004968D3"/>
    <w:rsid w:val="004A00F3"/>
    <w:rsid w:val="004A02EC"/>
    <w:rsid w:val="004A037A"/>
    <w:rsid w:val="004A4600"/>
    <w:rsid w:val="004A749A"/>
    <w:rsid w:val="004B10E0"/>
    <w:rsid w:val="004B2B41"/>
    <w:rsid w:val="004B3187"/>
    <w:rsid w:val="004B355B"/>
    <w:rsid w:val="004C01C3"/>
    <w:rsid w:val="004C029F"/>
    <w:rsid w:val="004C3AF4"/>
    <w:rsid w:val="004C4368"/>
    <w:rsid w:val="004C5D73"/>
    <w:rsid w:val="004C6918"/>
    <w:rsid w:val="004C7433"/>
    <w:rsid w:val="004D042E"/>
    <w:rsid w:val="004D0A48"/>
    <w:rsid w:val="004D4633"/>
    <w:rsid w:val="004D4E2C"/>
    <w:rsid w:val="004D5937"/>
    <w:rsid w:val="004D5E4B"/>
    <w:rsid w:val="004D7165"/>
    <w:rsid w:val="004E0753"/>
    <w:rsid w:val="004E148F"/>
    <w:rsid w:val="004E2694"/>
    <w:rsid w:val="004E3EC8"/>
    <w:rsid w:val="004E3FBF"/>
    <w:rsid w:val="004F4077"/>
    <w:rsid w:val="004F4341"/>
    <w:rsid w:val="004F74DA"/>
    <w:rsid w:val="00502E01"/>
    <w:rsid w:val="00503D84"/>
    <w:rsid w:val="00504C2E"/>
    <w:rsid w:val="00510C51"/>
    <w:rsid w:val="00511660"/>
    <w:rsid w:val="005131BF"/>
    <w:rsid w:val="00513844"/>
    <w:rsid w:val="005159A6"/>
    <w:rsid w:val="00520EA4"/>
    <w:rsid w:val="00521157"/>
    <w:rsid w:val="00521215"/>
    <w:rsid w:val="00523719"/>
    <w:rsid w:val="00524505"/>
    <w:rsid w:val="00525093"/>
    <w:rsid w:val="005269CB"/>
    <w:rsid w:val="00527A67"/>
    <w:rsid w:val="0053107A"/>
    <w:rsid w:val="00531AA2"/>
    <w:rsid w:val="00532C25"/>
    <w:rsid w:val="00533FFB"/>
    <w:rsid w:val="00535680"/>
    <w:rsid w:val="00537FCE"/>
    <w:rsid w:val="005405FD"/>
    <w:rsid w:val="00542BAA"/>
    <w:rsid w:val="00546BCE"/>
    <w:rsid w:val="00546D99"/>
    <w:rsid w:val="00547B5E"/>
    <w:rsid w:val="00551D30"/>
    <w:rsid w:val="00553C2C"/>
    <w:rsid w:val="00555A98"/>
    <w:rsid w:val="00555D9A"/>
    <w:rsid w:val="00557E00"/>
    <w:rsid w:val="00561AFE"/>
    <w:rsid w:val="00562458"/>
    <w:rsid w:val="00566104"/>
    <w:rsid w:val="0056758A"/>
    <w:rsid w:val="005677C4"/>
    <w:rsid w:val="005723A5"/>
    <w:rsid w:val="005725B2"/>
    <w:rsid w:val="005736F9"/>
    <w:rsid w:val="0057435F"/>
    <w:rsid w:val="0057627B"/>
    <w:rsid w:val="005768E7"/>
    <w:rsid w:val="00577FBA"/>
    <w:rsid w:val="0058071B"/>
    <w:rsid w:val="00581391"/>
    <w:rsid w:val="00581BE4"/>
    <w:rsid w:val="005820F6"/>
    <w:rsid w:val="00582CC0"/>
    <w:rsid w:val="00584949"/>
    <w:rsid w:val="00584A24"/>
    <w:rsid w:val="00585373"/>
    <w:rsid w:val="00586238"/>
    <w:rsid w:val="00586590"/>
    <w:rsid w:val="005919F1"/>
    <w:rsid w:val="00591F94"/>
    <w:rsid w:val="00592204"/>
    <w:rsid w:val="00593C5C"/>
    <w:rsid w:val="00594F58"/>
    <w:rsid w:val="005976D5"/>
    <w:rsid w:val="005A3629"/>
    <w:rsid w:val="005A7957"/>
    <w:rsid w:val="005B09A6"/>
    <w:rsid w:val="005B22DE"/>
    <w:rsid w:val="005B2A40"/>
    <w:rsid w:val="005B30A9"/>
    <w:rsid w:val="005C2052"/>
    <w:rsid w:val="005C6267"/>
    <w:rsid w:val="005C692E"/>
    <w:rsid w:val="005C74CA"/>
    <w:rsid w:val="005D047C"/>
    <w:rsid w:val="005D1C4C"/>
    <w:rsid w:val="005D3C52"/>
    <w:rsid w:val="005D3C89"/>
    <w:rsid w:val="005D5D09"/>
    <w:rsid w:val="005E02E6"/>
    <w:rsid w:val="005E26F8"/>
    <w:rsid w:val="005E2D9D"/>
    <w:rsid w:val="005E438B"/>
    <w:rsid w:val="005F2967"/>
    <w:rsid w:val="005F7C50"/>
    <w:rsid w:val="006009F4"/>
    <w:rsid w:val="0060189A"/>
    <w:rsid w:val="006019AC"/>
    <w:rsid w:val="0060421B"/>
    <w:rsid w:val="00604BA3"/>
    <w:rsid w:val="00607572"/>
    <w:rsid w:val="00610301"/>
    <w:rsid w:val="00612FF4"/>
    <w:rsid w:val="00613F2A"/>
    <w:rsid w:val="00616367"/>
    <w:rsid w:val="006167C1"/>
    <w:rsid w:val="00616B82"/>
    <w:rsid w:val="00617B9D"/>
    <w:rsid w:val="00620643"/>
    <w:rsid w:val="00621347"/>
    <w:rsid w:val="006249F2"/>
    <w:rsid w:val="0062517F"/>
    <w:rsid w:val="00632B38"/>
    <w:rsid w:val="0063400F"/>
    <w:rsid w:val="00634111"/>
    <w:rsid w:val="00634158"/>
    <w:rsid w:val="00634D7B"/>
    <w:rsid w:val="00636201"/>
    <w:rsid w:val="00636E51"/>
    <w:rsid w:val="00637C79"/>
    <w:rsid w:val="00641896"/>
    <w:rsid w:val="0064386F"/>
    <w:rsid w:val="006449BE"/>
    <w:rsid w:val="00645195"/>
    <w:rsid w:val="00646CBA"/>
    <w:rsid w:val="00650E00"/>
    <w:rsid w:val="00651FF5"/>
    <w:rsid w:val="0065259D"/>
    <w:rsid w:val="00653A96"/>
    <w:rsid w:val="00654B6A"/>
    <w:rsid w:val="006568C2"/>
    <w:rsid w:val="00660B38"/>
    <w:rsid w:val="00660D2A"/>
    <w:rsid w:val="006620AB"/>
    <w:rsid w:val="006622CE"/>
    <w:rsid w:val="0066307C"/>
    <w:rsid w:val="00663A4C"/>
    <w:rsid w:val="00664CE8"/>
    <w:rsid w:val="006660BA"/>
    <w:rsid w:val="00666D99"/>
    <w:rsid w:val="00667CA3"/>
    <w:rsid w:val="00670505"/>
    <w:rsid w:val="00670D0B"/>
    <w:rsid w:val="00671243"/>
    <w:rsid w:val="00672F48"/>
    <w:rsid w:val="00673552"/>
    <w:rsid w:val="00674C44"/>
    <w:rsid w:val="0067610C"/>
    <w:rsid w:val="006766D0"/>
    <w:rsid w:val="00677928"/>
    <w:rsid w:val="00681767"/>
    <w:rsid w:val="0068576D"/>
    <w:rsid w:val="00686903"/>
    <w:rsid w:val="00691848"/>
    <w:rsid w:val="006929BC"/>
    <w:rsid w:val="00695E4E"/>
    <w:rsid w:val="00697994"/>
    <w:rsid w:val="006A31D0"/>
    <w:rsid w:val="006A3FC1"/>
    <w:rsid w:val="006A4AB4"/>
    <w:rsid w:val="006A6121"/>
    <w:rsid w:val="006B131A"/>
    <w:rsid w:val="006B1C1F"/>
    <w:rsid w:val="006B2EB4"/>
    <w:rsid w:val="006C1723"/>
    <w:rsid w:val="006C4C18"/>
    <w:rsid w:val="006C7DAA"/>
    <w:rsid w:val="006D151C"/>
    <w:rsid w:val="006D185F"/>
    <w:rsid w:val="006D1BCF"/>
    <w:rsid w:val="006D2F90"/>
    <w:rsid w:val="006D5928"/>
    <w:rsid w:val="006D5DA8"/>
    <w:rsid w:val="006D6BFF"/>
    <w:rsid w:val="006D78F8"/>
    <w:rsid w:val="006E148C"/>
    <w:rsid w:val="006E5A3E"/>
    <w:rsid w:val="006E64B6"/>
    <w:rsid w:val="006E65AE"/>
    <w:rsid w:val="006F434D"/>
    <w:rsid w:val="00700B9B"/>
    <w:rsid w:val="00701C48"/>
    <w:rsid w:val="00701D29"/>
    <w:rsid w:val="00702596"/>
    <w:rsid w:val="007032DB"/>
    <w:rsid w:val="00703A95"/>
    <w:rsid w:val="00703DC2"/>
    <w:rsid w:val="007046A6"/>
    <w:rsid w:val="007047DF"/>
    <w:rsid w:val="00704D95"/>
    <w:rsid w:val="00705F65"/>
    <w:rsid w:val="00706C4A"/>
    <w:rsid w:val="007073CA"/>
    <w:rsid w:val="00710E9E"/>
    <w:rsid w:val="00713779"/>
    <w:rsid w:val="0071640C"/>
    <w:rsid w:val="00716DE9"/>
    <w:rsid w:val="0072147C"/>
    <w:rsid w:val="00721920"/>
    <w:rsid w:val="00721A79"/>
    <w:rsid w:val="0072399A"/>
    <w:rsid w:val="00724DED"/>
    <w:rsid w:val="0072639B"/>
    <w:rsid w:val="00731149"/>
    <w:rsid w:val="00732E26"/>
    <w:rsid w:val="00733F0D"/>
    <w:rsid w:val="00734269"/>
    <w:rsid w:val="00737E2E"/>
    <w:rsid w:val="0074109A"/>
    <w:rsid w:val="0074150D"/>
    <w:rsid w:val="00741B34"/>
    <w:rsid w:val="00741ECA"/>
    <w:rsid w:val="00744B1B"/>
    <w:rsid w:val="00745199"/>
    <w:rsid w:val="0074602F"/>
    <w:rsid w:val="007468C4"/>
    <w:rsid w:val="00746AF7"/>
    <w:rsid w:val="00750C55"/>
    <w:rsid w:val="007511AF"/>
    <w:rsid w:val="007517DE"/>
    <w:rsid w:val="007522BE"/>
    <w:rsid w:val="00753B27"/>
    <w:rsid w:val="007541F7"/>
    <w:rsid w:val="007554FE"/>
    <w:rsid w:val="007558EA"/>
    <w:rsid w:val="007576DC"/>
    <w:rsid w:val="007577B5"/>
    <w:rsid w:val="00757E1B"/>
    <w:rsid w:val="00760F9A"/>
    <w:rsid w:val="00763534"/>
    <w:rsid w:val="00767A7B"/>
    <w:rsid w:val="00770D4C"/>
    <w:rsid w:val="00771E19"/>
    <w:rsid w:val="0077267A"/>
    <w:rsid w:val="00773DEC"/>
    <w:rsid w:val="00773EB1"/>
    <w:rsid w:val="00774D82"/>
    <w:rsid w:val="0077796A"/>
    <w:rsid w:val="00777CC7"/>
    <w:rsid w:val="00781688"/>
    <w:rsid w:val="007821D4"/>
    <w:rsid w:val="00787096"/>
    <w:rsid w:val="007877F2"/>
    <w:rsid w:val="00787AF7"/>
    <w:rsid w:val="00792B6D"/>
    <w:rsid w:val="007943B2"/>
    <w:rsid w:val="00795976"/>
    <w:rsid w:val="007978F1"/>
    <w:rsid w:val="007A0980"/>
    <w:rsid w:val="007A1FC2"/>
    <w:rsid w:val="007A3640"/>
    <w:rsid w:val="007A39CA"/>
    <w:rsid w:val="007A3F82"/>
    <w:rsid w:val="007A4D1C"/>
    <w:rsid w:val="007A4D5F"/>
    <w:rsid w:val="007A61DC"/>
    <w:rsid w:val="007A7F05"/>
    <w:rsid w:val="007B068C"/>
    <w:rsid w:val="007B212A"/>
    <w:rsid w:val="007B225B"/>
    <w:rsid w:val="007B26B6"/>
    <w:rsid w:val="007B2AD5"/>
    <w:rsid w:val="007B4709"/>
    <w:rsid w:val="007B6048"/>
    <w:rsid w:val="007C335F"/>
    <w:rsid w:val="007C6482"/>
    <w:rsid w:val="007D3182"/>
    <w:rsid w:val="007D7A5E"/>
    <w:rsid w:val="007E1A77"/>
    <w:rsid w:val="007E2B0C"/>
    <w:rsid w:val="007E3D43"/>
    <w:rsid w:val="007E4CA7"/>
    <w:rsid w:val="007E51A5"/>
    <w:rsid w:val="007E69EC"/>
    <w:rsid w:val="007F10AC"/>
    <w:rsid w:val="007F3BD3"/>
    <w:rsid w:val="007F4C1E"/>
    <w:rsid w:val="007F648B"/>
    <w:rsid w:val="00800E7E"/>
    <w:rsid w:val="0080132D"/>
    <w:rsid w:val="00801FDA"/>
    <w:rsid w:val="00802EED"/>
    <w:rsid w:val="00805899"/>
    <w:rsid w:val="00805A6E"/>
    <w:rsid w:val="0080677F"/>
    <w:rsid w:val="00813951"/>
    <w:rsid w:val="00814CC1"/>
    <w:rsid w:val="008168C2"/>
    <w:rsid w:val="008175C6"/>
    <w:rsid w:val="0081785A"/>
    <w:rsid w:val="00817F17"/>
    <w:rsid w:val="00820979"/>
    <w:rsid w:val="00821D14"/>
    <w:rsid w:val="00822588"/>
    <w:rsid w:val="0082360E"/>
    <w:rsid w:val="00824395"/>
    <w:rsid w:val="0083359B"/>
    <w:rsid w:val="008344BD"/>
    <w:rsid w:val="008349BF"/>
    <w:rsid w:val="00842549"/>
    <w:rsid w:val="0084617D"/>
    <w:rsid w:val="00846896"/>
    <w:rsid w:val="008474C5"/>
    <w:rsid w:val="00850436"/>
    <w:rsid w:val="008514BA"/>
    <w:rsid w:val="00851515"/>
    <w:rsid w:val="00851ABB"/>
    <w:rsid w:val="00851F5B"/>
    <w:rsid w:val="008525D1"/>
    <w:rsid w:val="00852F6E"/>
    <w:rsid w:val="00855E12"/>
    <w:rsid w:val="00860E75"/>
    <w:rsid w:val="00860EF8"/>
    <w:rsid w:val="0086117E"/>
    <w:rsid w:val="008613E2"/>
    <w:rsid w:val="00861526"/>
    <w:rsid w:val="008621FD"/>
    <w:rsid w:val="0086291B"/>
    <w:rsid w:val="00865FAA"/>
    <w:rsid w:val="00866CBA"/>
    <w:rsid w:val="00873144"/>
    <w:rsid w:val="008737C8"/>
    <w:rsid w:val="008760CF"/>
    <w:rsid w:val="0087667A"/>
    <w:rsid w:val="00876912"/>
    <w:rsid w:val="00876E77"/>
    <w:rsid w:val="0087724A"/>
    <w:rsid w:val="00877CE0"/>
    <w:rsid w:val="00882BFF"/>
    <w:rsid w:val="008851C4"/>
    <w:rsid w:val="008853DE"/>
    <w:rsid w:val="00887747"/>
    <w:rsid w:val="00891C5F"/>
    <w:rsid w:val="00892F8C"/>
    <w:rsid w:val="00894360"/>
    <w:rsid w:val="00895F4C"/>
    <w:rsid w:val="0089618B"/>
    <w:rsid w:val="00897828"/>
    <w:rsid w:val="00897CEF"/>
    <w:rsid w:val="00897DA4"/>
    <w:rsid w:val="008A08CC"/>
    <w:rsid w:val="008A21B2"/>
    <w:rsid w:val="008A2FB4"/>
    <w:rsid w:val="008A4DBE"/>
    <w:rsid w:val="008A528E"/>
    <w:rsid w:val="008A5809"/>
    <w:rsid w:val="008A5BDD"/>
    <w:rsid w:val="008A6912"/>
    <w:rsid w:val="008B0040"/>
    <w:rsid w:val="008B07BB"/>
    <w:rsid w:val="008B29CB"/>
    <w:rsid w:val="008B5B1C"/>
    <w:rsid w:val="008B6B34"/>
    <w:rsid w:val="008C1D1E"/>
    <w:rsid w:val="008C2FCB"/>
    <w:rsid w:val="008C5AAD"/>
    <w:rsid w:val="008C74BE"/>
    <w:rsid w:val="008C7FB1"/>
    <w:rsid w:val="008D03ED"/>
    <w:rsid w:val="008D060E"/>
    <w:rsid w:val="008D3D23"/>
    <w:rsid w:val="008D736F"/>
    <w:rsid w:val="008D7589"/>
    <w:rsid w:val="008D7FD3"/>
    <w:rsid w:val="008E3FB0"/>
    <w:rsid w:val="008E50AB"/>
    <w:rsid w:val="008F09DA"/>
    <w:rsid w:val="008F26EB"/>
    <w:rsid w:val="008F3269"/>
    <w:rsid w:val="008F32F2"/>
    <w:rsid w:val="008F3E71"/>
    <w:rsid w:val="008F4090"/>
    <w:rsid w:val="008F5714"/>
    <w:rsid w:val="008F775A"/>
    <w:rsid w:val="009003F7"/>
    <w:rsid w:val="009004C7"/>
    <w:rsid w:val="0090061C"/>
    <w:rsid w:val="00903F38"/>
    <w:rsid w:val="0090481C"/>
    <w:rsid w:val="0090519E"/>
    <w:rsid w:val="00905E6C"/>
    <w:rsid w:val="0090668E"/>
    <w:rsid w:val="0091022B"/>
    <w:rsid w:val="009175CC"/>
    <w:rsid w:val="00920DB4"/>
    <w:rsid w:val="009227B3"/>
    <w:rsid w:val="00922D03"/>
    <w:rsid w:val="00923A48"/>
    <w:rsid w:val="00927503"/>
    <w:rsid w:val="00927838"/>
    <w:rsid w:val="0093062E"/>
    <w:rsid w:val="00931060"/>
    <w:rsid w:val="00931DE4"/>
    <w:rsid w:val="00934F45"/>
    <w:rsid w:val="0093655F"/>
    <w:rsid w:val="00936BDF"/>
    <w:rsid w:val="00937409"/>
    <w:rsid w:val="00940597"/>
    <w:rsid w:val="009407D6"/>
    <w:rsid w:val="0094249B"/>
    <w:rsid w:val="0094373E"/>
    <w:rsid w:val="009439D8"/>
    <w:rsid w:val="009448C8"/>
    <w:rsid w:val="009455E6"/>
    <w:rsid w:val="00947C70"/>
    <w:rsid w:val="00950FA2"/>
    <w:rsid w:val="009510C5"/>
    <w:rsid w:val="009511F4"/>
    <w:rsid w:val="0095309F"/>
    <w:rsid w:val="00953756"/>
    <w:rsid w:val="009542CB"/>
    <w:rsid w:val="00954D0E"/>
    <w:rsid w:val="00956506"/>
    <w:rsid w:val="00956A58"/>
    <w:rsid w:val="00960851"/>
    <w:rsid w:val="009608E2"/>
    <w:rsid w:val="00960C2D"/>
    <w:rsid w:val="00963A63"/>
    <w:rsid w:val="00965F59"/>
    <w:rsid w:val="0097249A"/>
    <w:rsid w:val="00972BFD"/>
    <w:rsid w:val="00973235"/>
    <w:rsid w:val="009733CE"/>
    <w:rsid w:val="0097605D"/>
    <w:rsid w:val="0097727F"/>
    <w:rsid w:val="00977798"/>
    <w:rsid w:val="00980148"/>
    <w:rsid w:val="00981DF3"/>
    <w:rsid w:val="00982EDF"/>
    <w:rsid w:val="00985BA9"/>
    <w:rsid w:val="00986E30"/>
    <w:rsid w:val="00990210"/>
    <w:rsid w:val="009918CB"/>
    <w:rsid w:val="00993D69"/>
    <w:rsid w:val="0099676C"/>
    <w:rsid w:val="009978DA"/>
    <w:rsid w:val="009A0421"/>
    <w:rsid w:val="009A0545"/>
    <w:rsid w:val="009A5C4D"/>
    <w:rsid w:val="009A60C1"/>
    <w:rsid w:val="009A6DFD"/>
    <w:rsid w:val="009A7999"/>
    <w:rsid w:val="009B1940"/>
    <w:rsid w:val="009C1F92"/>
    <w:rsid w:val="009C3E84"/>
    <w:rsid w:val="009C4C67"/>
    <w:rsid w:val="009C6135"/>
    <w:rsid w:val="009C76A9"/>
    <w:rsid w:val="009D053D"/>
    <w:rsid w:val="009D0B8F"/>
    <w:rsid w:val="009D0BCF"/>
    <w:rsid w:val="009D0FBB"/>
    <w:rsid w:val="009D1593"/>
    <w:rsid w:val="009D2710"/>
    <w:rsid w:val="009D3370"/>
    <w:rsid w:val="009D4838"/>
    <w:rsid w:val="009D545D"/>
    <w:rsid w:val="009D55A2"/>
    <w:rsid w:val="009D5630"/>
    <w:rsid w:val="009D5C3D"/>
    <w:rsid w:val="009D6F73"/>
    <w:rsid w:val="009E03B9"/>
    <w:rsid w:val="009E0F0C"/>
    <w:rsid w:val="009E121D"/>
    <w:rsid w:val="009E1351"/>
    <w:rsid w:val="009E15D9"/>
    <w:rsid w:val="009E440D"/>
    <w:rsid w:val="009E5B89"/>
    <w:rsid w:val="009F1D1E"/>
    <w:rsid w:val="009F365F"/>
    <w:rsid w:val="009F4F3F"/>
    <w:rsid w:val="009F5BA9"/>
    <w:rsid w:val="00A002AD"/>
    <w:rsid w:val="00A01F7B"/>
    <w:rsid w:val="00A01FB7"/>
    <w:rsid w:val="00A07911"/>
    <w:rsid w:val="00A10662"/>
    <w:rsid w:val="00A1312B"/>
    <w:rsid w:val="00A14146"/>
    <w:rsid w:val="00A145FF"/>
    <w:rsid w:val="00A1483E"/>
    <w:rsid w:val="00A1486D"/>
    <w:rsid w:val="00A15027"/>
    <w:rsid w:val="00A15737"/>
    <w:rsid w:val="00A15B0A"/>
    <w:rsid w:val="00A16950"/>
    <w:rsid w:val="00A23602"/>
    <w:rsid w:val="00A24BB0"/>
    <w:rsid w:val="00A255E6"/>
    <w:rsid w:val="00A25CDD"/>
    <w:rsid w:val="00A26518"/>
    <w:rsid w:val="00A2684A"/>
    <w:rsid w:val="00A30821"/>
    <w:rsid w:val="00A30BBD"/>
    <w:rsid w:val="00A3253A"/>
    <w:rsid w:val="00A33409"/>
    <w:rsid w:val="00A3424A"/>
    <w:rsid w:val="00A34BEA"/>
    <w:rsid w:val="00A35B9F"/>
    <w:rsid w:val="00A36245"/>
    <w:rsid w:val="00A37208"/>
    <w:rsid w:val="00A44863"/>
    <w:rsid w:val="00A44A1A"/>
    <w:rsid w:val="00A45C86"/>
    <w:rsid w:val="00A47E18"/>
    <w:rsid w:val="00A505F8"/>
    <w:rsid w:val="00A51235"/>
    <w:rsid w:val="00A515DE"/>
    <w:rsid w:val="00A526F4"/>
    <w:rsid w:val="00A53787"/>
    <w:rsid w:val="00A53987"/>
    <w:rsid w:val="00A540E1"/>
    <w:rsid w:val="00A541BC"/>
    <w:rsid w:val="00A55B1A"/>
    <w:rsid w:val="00A55B8B"/>
    <w:rsid w:val="00A605F2"/>
    <w:rsid w:val="00A664C4"/>
    <w:rsid w:val="00A66FE4"/>
    <w:rsid w:val="00A704D0"/>
    <w:rsid w:val="00A71715"/>
    <w:rsid w:val="00A7242F"/>
    <w:rsid w:val="00A72AFD"/>
    <w:rsid w:val="00A7351A"/>
    <w:rsid w:val="00A735FA"/>
    <w:rsid w:val="00A74A96"/>
    <w:rsid w:val="00A763C9"/>
    <w:rsid w:val="00A766C6"/>
    <w:rsid w:val="00A77D9B"/>
    <w:rsid w:val="00A800C6"/>
    <w:rsid w:val="00A80673"/>
    <w:rsid w:val="00A83760"/>
    <w:rsid w:val="00A83F2B"/>
    <w:rsid w:val="00A87831"/>
    <w:rsid w:val="00A90778"/>
    <w:rsid w:val="00A979BA"/>
    <w:rsid w:val="00AA1537"/>
    <w:rsid w:val="00AA2B7B"/>
    <w:rsid w:val="00AA34F0"/>
    <w:rsid w:val="00AA47DB"/>
    <w:rsid w:val="00AA4C13"/>
    <w:rsid w:val="00AA5B0C"/>
    <w:rsid w:val="00AA700C"/>
    <w:rsid w:val="00AB0551"/>
    <w:rsid w:val="00AB0DE5"/>
    <w:rsid w:val="00AB31AF"/>
    <w:rsid w:val="00AB434A"/>
    <w:rsid w:val="00AB7A8F"/>
    <w:rsid w:val="00AB7EEF"/>
    <w:rsid w:val="00AC0320"/>
    <w:rsid w:val="00AC0AEF"/>
    <w:rsid w:val="00AC49FC"/>
    <w:rsid w:val="00AC5F73"/>
    <w:rsid w:val="00AD1F41"/>
    <w:rsid w:val="00AD23DF"/>
    <w:rsid w:val="00AD3E70"/>
    <w:rsid w:val="00AD3F43"/>
    <w:rsid w:val="00AD6C35"/>
    <w:rsid w:val="00AE10CA"/>
    <w:rsid w:val="00AE2104"/>
    <w:rsid w:val="00AE2CC4"/>
    <w:rsid w:val="00AF0E6A"/>
    <w:rsid w:val="00AF1153"/>
    <w:rsid w:val="00AF20FF"/>
    <w:rsid w:val="00AF2254"/>
    <w:rsid w:val="00AF29A1"/>
    <w:rsid w:val="00AF421D"/>
    <w:rsid w:val="00AF53EF"/>
    <w:rsid w:val="00AF5EC4"/>
    <w:rsid w:val="00B05D9E"/>
    <w:rsid w:val="00B07955"/>
    <w:rsid w:val="00B11611"/>
    <w:rsid w:val="00B11FF9"/>
    <w:rsid w:val="00B133CF"/>
    <w:rsid w:val="00B13425"/>
    <w:rsid w:val="00B13CBF"/>
    <w:rsid w:val="00B1416A"/>
    <w:rsid w:val="00B14297"/>
    <w:rsid w:val="00B17F08"/>
    <w:rsid w:val="00B219A3"/>
    <w:rsid w:val="00B222E1"/>
    <w:rsid w:val="00B23998"/>
    <w:rsid w:val="00B24512"/>
    <w:rsid w:val="00B24559"/>
    <w:rsid w:val="00B258DC"/>
    <w:rsid w:val="00B263B2"/>
    <w:rsid w:val="00B26519"/>
    <w:rsid w:val="00B2715F"/>
    <w:rsid w:val="00B30404"/>
    <w:rsid w:val="00B30C86"/>
    <w:rsid w:val="00B3182C"/>
    <w:rsid w:val="00B31889"/>
    <w:rsid w:val="00B3231C"/>
    <w:rsid w:val="00B3599D"/>
    <w:rsid w:val="00B365F9"/>
    <w:rsid w:val="00B36A3D"/>
    <w:rsid w:val="00B409B2"/>
    <w:rsid w:val="00B416AD"/>
    <w:rsid w:val="00B41837"/>
    <w:rsid w:val="00B42335"/>
    <w:rsid w:val="00B42B71"/>
    <w:rsid w:val="00B438A1"/>
    <w:rsid w:val="00B43D66"/>
    <w:rsid w:val="00B44FEB"/>
    <w:rsid w:val="00B47D84"/>
    <w:rsid w:val="00B54AA7"/>
    <w:rsid w:val="00B564A9"/>
    <w:rsid w:val="00B610F3"/>
    <w:rsid w:val="00B61A0F"/>
    <w:rsid w:val="00B61CC6"/>
    <w:rsid w:val="00B63545"/>
    <w:rsid w:val="00B6479A"/>
    <w:rsid w:val="00B65F92"/>
    <w:rsid w:val="00B70B45"/>
    <w:rsid w:val="00B7123C"/>
    <w:rsid w:val="00B7329A"/>
    <w:rsid w:val="00B7468B"/>
    <w:rsid w:val="00B755BE"/>
    <w:rsid w:val="00B76E3D"/>
    <w:rsid w:val="00B77B08"/>
    <w:rsid w:val="00B81DAC"/>
    <w:rsid w:val="00B843B8"/>
    <w:rsid w:val="00B85409"/>
    <w:rsid w:val="00B85597"/>
    <w:rsid w:val="00B86235"/>
    <w:rsid w:val="00B86321"/>
    <w:rsid w:val="00B86501"/>
    <w:rsid w:val="00B879AA"/>
    <w:rsid w:val="00B9207A"/>
    <w:rsid w:val="00B9214F"/>
    <w:rsid w:val="00B94455"/>
    <w:rsid w:val="00B948D6"/>
    <w:rsid w:val="00B94979"/>
    <w:rsid w:val="00B94F90"/>
    <w:rsid w:val="00B979CC"/>
    <w:rsid w:val="00BA1CD5"/>
    <w:rsid w:val="00BA2C36"/>
    <w:rsid w:val="00BA381B"/>
    <w:rsid w:val="00BB16DA"/>
    <w:rsid w:val="00BB21AF"/>
    <w:rsid w:val="00BB2F30"/>
    <w:rsid w:val="00BB391E"/>
    <w:rsid w:val="00BB54FB"/>
    <w:rsid w:val="00BB5898"/>
    <w:rsid w:val="00BB637F"/>
    <w:rsid w:val="00BB7435"/>
    <w:rsid w:val="00BB750E"/>
    <w:rsid w:val="00BC02E2"/>
    <w:rsid w:val="00BC1053"/>
    <w:rsid w:val="00BC1CE8"/>
    <w:rsid w:val="00BC1D02"/>
    <w:rsid w:val="00BC24F5"/>
    <w:rsid w:val="00BC609D"/>
    <w:rsid w:val="00BD08B2"/>
    <w:rsid w:val="00BD1159"/>
    <w:rsid w:val="00BD3C90"/>
    <w:rsid w:val="00BD50A2"/>
    <w:rsid w:val="00BD5B4D"/>
    <w:rsid w:val="00BD753B"/>
    <w:rsid w:val="00BD7CA6"/>
    <w:rsid w:val="00BE004B"/>
    <w:rsid w:val="00BE0519"/>
    <w:rsid w:val="00BE0E14"/>
    <w:rsid w:val="00BE19A1"/>
    <w:rsid w:val="00BE2ED4"/>
    <w:rsid w:val="00BE4451"/>
    <w:rsid w:val="00BE78B0"/>
    <w:rsid w:val="00BF08B9"/>
    <w:rsid w:val="00BF109A"/>
    <w:rsid w:val="00BF1304"/>
    <w:rsid w:val="00BF3A2F"/>
    <w:rsid w:val="00BF3FA0"/>
    <w:rsid w:val="00BF4C72"/>
    <w:rsid w:val="00BF54F0"/>
    <w:rsid w:val="00C008D1"/>
    <w:rsid w:val="00C01256"/>
    <w:rsid w:val="00C01B27"/>
    <w:rsid w:val="00C0362B"/>
    <w:rsid w:val="00C03D57"/>
    <w:rsid w:val="00C0456B"/>
    <w:rsid w:val="00C047C6"/>
    <w:rsid w:val="00C04CFB"/>
    <w:rsid w:val="00C04D0F"/>
    <w:rsid w:val="00C0539F"/>
    <w:rsid w:val="00C06535"/>
    <w:rsid w:val="00C0711C"/>
    <w:rsid w:val="00C1286A"/>
    <w:rsid w:val="00C134B5"/>
    <w:rsid w:val="00C17810"/>
    <w:rsid w:val="00C20D75"/>
    <w:rsid w:val="00C20F86"/>
    <w:rsid w:val="00C221ED"/>
    <w:rsid w:val="00C23D2A"/>
    <w:rsid w:val="00C2446A"/>
    <w:rsid w:val="00C24892"/>
    <w:rsid w:val="00C25584"/>
    <w:rsid w:val="00C2561C"/>
    <w:rsid w:val="00C268FF"/>
    <w:rsid w:val="00C34AD8"/>
    <w:rsid w:val="00C36176"/>
    <w:rsid w:val="00C36D38"/>
    <w:rsid w:val="00C3709B"/>
    <w:rsid w:val="00C379D3"/>
    <w:rsid w:val="00C40358"/>
    <w:rsid w:val="00C403EB"/>
    <w:rsid w:val="00C41EAC"/>
    <w:rsid w:val="00C43861"/>
    <w:rsid w:val="00C44423"/>
    <w:rsid w:val="00C44609"/>
    <w:rsid w:val="00C455C5"/>
    <w:rsid w:val="00C529EB"/>
    <w:rsid w:val="00C53D69"/>
    <w:rsid w:val="00C559C4"/>
    <w:rsid w:val="00C56F0D"/>
    <w:rsid w:val="00C57452"/>
    <w:rsid w:val="00C6183F"/>
    <w:rsid w:val="00C62393"/>
    <w:rsid w:val="00C62AF6"/>
    <w:rsid w:val="00C6312B"/>
    <w:rsid w:val="00C639DF"/>
    <w:rsid w:val="00C649ED"/>
    <w:rsid w:val="00C70051"/>
    <w:rsid w:val="00C706CD"/>
    <w:rsid w:val="00C7249A"/>
    <w:rsid w:val="00C76672"/>
    <w:rsid w:val="00C76B52"/>
    <w:rsid w:val="00C774E0"/>
    <w:rsid w:val="00C779EC"/>
    <w:rsid w:val="00C81B80"/>
    <w:rsid w:val="00C81EBD"/>
    <w:rsid w:val="00C8285E"/>
    <w:rsid w:val="00C83C37"/>
    <w:rsid w:val="00C83DD9"/>
    <w:rsid w:val="00C8513A"/>
    <w:rsid w:val="00C85963"/>
    <w:rsid w:val="00C87087"/>
    <w:rsid w:val="00C876A3"/>
    <w:rsid w:val="00C87E7A"/>
    <w:rsid w:val="00C90DE3"/>
    <w:rsid w:val="00C97372"/>
    <w:rsid w:val="00C9745F"/>
    <w:rsid w:val="00C97DD3"/>
    <w:rsid w:val="00CA3635"/>
    <w:rsid w:val="00CA4367"/>
    <w:rsid w:val="00CA6208"/>
    <w:rsid w:val="00CA7849"/>
    <w:rsid w:val="00CB3448"/>
    <w:rsid w:val="00CB3FAD"/>
    <w:rsid w:val="00CB48C2"/>
    <w:rsid w:val="00CB63AE"/>
    <w:rsid w:val="00CB7BDA"/>
    <w:rsid w:val="00CC056A"/>
    <w:rsid w:val="00CC0B39"/>
    <w:rsid w:val="00CC114E"/>
    <w:rsid w:val="00CC398F"/>
    <w:rsid w:val="00CC5BD4"/>
    <w:rsid w:val="00CD0895"/>
    <w:rsid w:val="00CD10C4"/>
    <w:rsid w:val="00CD1159"/>
    <w:rsid w:val="00CD1AA0"/>
    <w:rsid w:val="00CD4149"/>
    <w:rsid w:val="00CD59C1"/>
    <w:rsid w:val="00CD5AF9"/>
    <w:rsid w:val="00CE0A6A"/>
    <w:rsid w:val="00CE18A2"/>
    <w:rsid w:val="00CE1C35"/>
    <w:rsid w:val="00CE6624"/>
    <w:rsid w:val="00CE6B55"/>
    <w:rsid w:val="00CE6DF6"/>
    <w:rsid w:val="00CF0262"/>
    <w:rsid w:val="00CF05F5"/>
    <w:rsid w:val="00CF0A0B"/>
    <w:rsid w:val="00CF7F0E"/>
    <w:rsid w:val="00D01D1F"/>
    <w:rsid w:val="00D02315"/>
    <w:rsid w:val="00D02F98"/>
    <w:rsid w:val="00D06198"/>
    <w:rsid w:val="00D078A8"/>
    <w:rsid w:val="00D07FCF"/>
    <w:rsid w:val="00D135CC"/>
    <w:rsid w:val="00D14198"/>
    <w:rsid w:val="00D15E81"/>
    <w:rsid w:val="00D16DA8"/>
    <w:rsid w:val="00D173CD"/>
    <w:rsid w:val="00D17401"/>
    <w:rsid w:val="00D20CD5"/>
    <w:rsid w:val="00D23EC0"/>
    <w:rsid w:val="00D26367"/>
    <w:rsid w:val="00D2690C"/>
    <w:rsid w:val="00D2724B"/>
    <w:rsid w:val="00D27685"/>
    <w:rsid w:val="00D325BA"/>
    <w:rsid w:val="00D32631"/>
    <w:rsid w:val="00D32637"/>
    <w:rsid w:val="00D32B33"/>
    <w:rsid w:val="00D34544"/>
    <w:rsid w:val="00D34E84"/>
    <w:rsid w:val="00D352F0"/>
    <w:rsid w:val="00D377F3"/>
    <w:rsid w:val="00D378A5"/>
    <w:rsid w:val="00D37AB5"/>
    <w:rsid w:val="00D37C7F"/>
    <w:rsid w:val="00D4288F"/>
    <w:rsid w:val="00D4348F"/>
    <w:rsid w:val="00D446D6"/>
    <w:rsid w:val="00D46463"/>
    <w:rsid w:val="00D546A7"/>
    <w:rsid w:val="00D55342"/>
    <w:rsid w:val="00D55A9E"/>
    <w:rsid w:val="00D5662E"/>
    <w:rsid w:val="00D574DC"/>
    <w:rsid w:val="00D57D36"/>
    <w:rsid w:val="00D60228"/>
    <w:rsid w:val="00D604C2"/>
    <w:rsid w:val="00D61D2D"/>
    <w:rsid w:val="00D6535C"/>
    <w:rsid w:val="00D7028D"/>
    <w:rsid w:val="00D74EF9"/>
    <w:rsid w:val="00D768DA"/>
    <w:rsid w:val="00D809E2"/>
    <w:rsid w:val="00D80A3E"/>
    <w:rsid w:val="00D80B55"/>
    <w:rsid w:val="00D82C84"/>
    <w:rsid w:val="00D844B2"/>
    <w:rsid w:val="00D85538"/>
    <w:rsid w:val="00D85B30"/>
    <w:rsid w:val="00D869F2"/>
    <w:rsid w:val="00D90144"/>
    <w:rsid w:val="00D92487"/>
    <w:rsid w:val="00D9483F"/>
    <w:rsid w:val="00D956C0"/>
    <w:rsid w:val="00DA0354"/>
    <w:rsid w:val="00DA050A"/>
    <w:rsid w:val="00DA091A"/>
    <w:rsid w:val="00DA1BC7"/>
    <w:rsid w:val="00DA455A"/>
    <w:rsid w:val="00DB09A3"/>
    <w:rsid w:val="00DB4C2F"/>
    <w:rsid w:val="00DB4E6E"/>
    <w:rsid w:val="00DC0718"/>
    <w:rsid w:val="00DC2337"/>
    <w:rsid w:val="00DC3ED7"/>
    <w:rsid w:val="00DC4969"/>
    <w:rsid w:val="00DC5692"/>
    <w:rsid w:val="00DC65AF"/>
    <w:rsid w:val="00DC6CAB"/>
    <w:rsid w:val="00DC70A2"/>
    <w:rsid w:val="00DD1E52"/>
    <w:rsid w:val="00DD3206"/>
    <w:rsid w:val="00DE060D"/>
    <w:rsid w:val="00DE089F"/>
    <w:rsid w:val="00DE2B2A"/>
    <w:rsid w:val="00DE44D3"/>
    <w:rsid w:val="00DE51A9"/>
    <w:rsid w:val="00DF57C9"/>
    <w:rsid w:val="00DF709E"/>
    <w:rsid w:val="00DF74F9"/>
    <w:rsid w:val="00E01874"/>
    <w:rsid w:val="00E02BF7"/>
    <w:rsid w:val="00E0586E"/>
    <w:rsid w:val="00E1491B"/>
    <w:rsid w:val="00E14F3E"/>
    <w:rsid w:val="00E14FBF"/>
    <w:rsid w:val="00E163A4"/>
    <w:rsid w:val="00E17FAA"/>
    <w:rsid w:val="00E21E60"/>
    <w:rsid w:val="00E225D6"/>
    <w:rsid w:val="00E22D02"/>
    <w:rsid w:val="00E231E9"/>
    <w:rsid w:val="00E247CB"/>
    <w:rsid w:val="00E24EA9"/>
    <w:rsid w:val="00E25511"/>
    <w:rsid w:val="00E26B2D"/>
    <w:rsid w:val="00E30AAC"/>
    <w:rsid w:val="00E32DF9"/>
    <w:rsid w:val="00E34285"/>
    <w:rsid w:val="00E373A1"/>
    <w:rsid w:val="00E41163"/>
    <w:rsid w:val="00E43595"/>
    <w:rsid w:val="00E44443"/>
    <w:rsid w:val="00E45242"/>
    <w:rsid w:val="00E47893"/>
    <w:rsid w:val="00E50AAE"/>
    <w:rsid w:val="00E51AE5"/>
    <w:rsid w:val="00E51C02"/>
    <w:rsid w:val="00E52162"/>
    <w:rsid w:val="00E52CD4"/>
    <w:rsid w:val="00E53B53"/>
    <w:rsid w:val="00E53E9B"/>
    <w:rsid w:val="00E55F64"/>
    <w:rsid w:val="00E56040"/>
    <w:rsid w:val="00E5612D"/>
    <w:rsid w:val="00E57739"/>
    <w:rsid w:val="00E57897"/>
    <w:rsid w:val="00E60638"/>
    <w:rsid w:val="00E61784"/>
    <w:rsid w:val="00E640C5"/>
    <w:rsid w:val="00E64453"/>
    <w:rsid w:val="00E65D14"/>
    <w:rsid w:val="00E667F3"/>
    <w:rsid w:val="00E67235"/>
    <w:rsid w:val="00E70E12"/>
    <w:rsid w:val="00E7474E"/>
    <w:rsid w:val="00E75B2E"/>
    <w:rsid w:val="00E76BA2"/>
    <w:rsid w:val="00E804E1"/>
    <w:rsid w:val="00E80A2B"/>
    <w:rsid w:val="00E81153"/>
    <w:rsid w:val="00E82481"/>
    <w:rsid w:val="00E845F2"/>
    <w:rsid w:val="00E848EE"/>
    <w:rsid w:val="00E84DC2"/>
    <w:rsid w:val="00E86D18"/>
    <w:rsid w:val="00E91253"/>
    <w:rsid w:val="00E9438D"/>
    <w:rsid w:val="00EA009D"/>
    <w:rsid w:val="00EA1AFD"/>
    <w:rsid w:val="00EA2170"/>
    <w:rsid w:val="00EA2779"/>
    <w:rsid w:val="00EA3B5B"/>
    <w:rsid w:val="00EA4788"/>
    <w:rsid w:val="00EA5555"/>
    <w:rsid w:val="00EA5A2C"/>
    <w:rsid w:val="00EA5E46"/>
    <w:rsid w:val="00EA60E5"/>
    <w:rsid w:val="00EA6D97"/>
    <w:rsid w:val="00EA712C"/>
    <w:rsid w:val="00EA7233"/>
    <w:rsid w:val="00EA7902"/>
    <w:rsid w:val="00EB0E4F"/>
    <w:rsid w:val="00EB0F89"/>
    <w:rsid w:val="00EB164C"/>
    <w:rsid w:val="00EB3EAB"/>
    <w:rsid w:val="00EB4671"/>
    <w:rsid w:val="00EB4945"/>
    <w:rsid w:val="00EB4BF7"/>
    <w:rsid w:val="00EB6284"/>
    <w:rsid w:val="00EC41BB"/>
    <w:rsid w:val="00EC5418"/>
    <w:rsid w:val="00EC5932"/>
    <w:rsid w:val="00ED2154"/>
    <w:rsid w:val="00ED2CC1"/>
    <w:rsid w:val="00ED2E69"/>
    <w:rsid w:val="00ED34A2"/>
    <w:rsid w:val="00ED4894"/>
    <w:rsid w:val="00ED5264"/>
    <w:rsid w:val="00ED6545"/>
    <w:rsid w:val="00ED7503"/>
    <w:rsid w:val="00ED7CA8"/>
    <w:rsid w:val="00EE08F4"/>
    <w:rsid w:val="00EE2675"/>
    <w:rsid w:val="00EE2AAA"/>
    <w:rsid w:val="00EE4029"/>
    <w:rsid w:val="00EE4047"/>
    <w:rsid w:val="00EE4384"/>
    <w:rsid w:val="00EE463E"/>
    <w:rsid w:val="00EE4674"/>
    <w:rsid w:val="00EE4CD4"/>
    <w:rsid w:val="00EE5E3C"/>
    <w:rsid w:val="00EE77E5"/>
    <w:rsid w:val="00EF100C"/>
    <w:rsid w:val="00EF416A"/>
    <w:rsid w:val="00EF51DD"/>
    <w:rsid w:val="00EF5D6B"/>
    <w:rsid w:val="00EF716C"/>
    <w:rsid w:val="00F00E52"/>
    <w:rsid w:val="00F020DB"/>
    <w:rsid w:val="00F03CD7"/>
    <w:rsid w:val="00F06588"/>
    <w:rsid w:val="00F07852"/>
    <w:rsid w:val="00F1015F"/>
    <w:rsid w:val="00F1037B"/>
    <w:rsid w:val="00F10722"/>
    <w:rsid w:val="00F11EB7"/>
    <w:rsid w:val="00F14757"/>
    <w:rsid w:val="00F154EB"/>
    <w:rsid w:val="00F15773"/>
    <w:rsid w:val="00F15861"/>
    <w:rsid w:val="00F1650D"/>
    <w:rsid w:val="00F20351"/>
    <w:rsid w:val="00F2094C"/>
    <w:rsid w:val="00F20CD5"/>
    <w:rsid w:val="00F21636"/>
    <w:rsid w:val="00F219E0"/>
    <w:rsid w:val="00F21BDC"/>
    <w:rsid w:val="00F21FA8"/>
    <w:rsid w:val="00F22225"/>
    <w:rsid w:val="00F26237"/>
    <w:rsid w:val="00F268BC"/>
    <w:rsid w:val="00F304C3"/>
    <w:rsid w:val="00F314BD"/>
    <w:rsid w:val="00F326A1"/>
    <w:rsid w:val="00F332D8"/>
    <w:rsid w:val="00F377A5"/>
    <w:rsid w:val="00F40009"/>
    <w:rsid w:val="00F411B6"/>
    <w:rsid w:val="00F41246"/>
    <w:rsid w:val="00F43043"/>
    <w:rsid w:val="00F43FF6"/>
    <w:rsid w:val="00F44485"/>
    <w:rsid w:val="00F46A44"/>
    <w:rsid w:val="00F46DF0"/>
    <w:rsid w:val="00F47C43"/>
    <w:rsid w:val="00F50E9E"/>
    <w:rsid w:val="00F51F44"/>
    <w:rsid w:val="00F5215C"/>
    <w:rsid w:val="00F53DEC"/>
    <w:rsid w:val="00F562BD"/>
    <w:rsid w:val="00F567EF"/>
    <w:rsid w:val="00F571B1"/>
    <w:rsid w:val="00F603C5"/>
    <w:rsid w:val="00F6231E"/>
    <w:rsid w:val="00F6301A"/>
    <w:rsid w:val="00F715DE"/>
    <w:rsid w:val="00F71B64"/>
    <w:rsid w:val="00F7211E"/>
    <w:rsid w:val="00F72B8B"/>
    <w:rsid w:val="00F74578"/>
    <w:rsid w:val="00F74FF4"/>
    <w:rsid w:val="00F758A0"/>
    <w:rsid w:val="00F7634C"/>
    <w:rsid w:val="00F76AE8"/>
    <w:rsid w:val="00F77728"/>
    <w:rsid w:val="00F8589F"/>
    <w:rsid w:val="00F859A7"/>
    <w:rsid w:val="00F85FF1"/>
    <w:rsid w:val="00F8649E"/>
    <w:rsid w:val="00F86CF6"/>
    <w:rsid w:val="00F87898"/>
    <w:rsid w:val="00F90527"/>
    <w:rsid w:val="00F91333"/>
    <w:rsid w:val="00F9305C"/>
    <w:rsid w:val="00F94431"/>
    <w:rsid w:val="00F94BDD"/>
    <w:rsid w:val="00F9553A"/>
    <w:rsid w:val="00F956BF"/>
    <w:rsid w:val="00F95760"/>
    <w:rsid w:val="00F97698"/>
    <w:rsid w:val="00F977E7"/>
    <w:rsid w:val="00FA09A1"/>
    <w:rsid w:val="00FA1B69"/>
    <w:rsid w:val="00FA28C7"/>
    <w:rsid w:val="00FA513F"/>
    <w:rsid w:val="00FA58E0"/>
    <w:rsid w:val="00FA5D0F"/>
    <w:rsid w:val="00FA6E29"/>
    <w:rsid w:val="00FA77C9"/>
    <w:rsid w:val="00FA7960"/>
    <w:rsid w:val="00FB0FDF"/>
    <w:rsid w:val="00FB387F"/>
    <w:rsid w:val="00FB5E0E"/>
    <w:rsid w:val="00FB603A"/>
    <w:rsid w:val="00FB7852"/>
    <w:rsid w:val="00FC09B4"/>
    <w:rsid w:val="00FC2481"/>
    <w:rsid w:val="00FC38CD"/>
    <w:rsid w:val="00FC47F2"/>
    <w:rsid w:val="00FC7347"/>
    <w:rsid w:val="00FD2BB2"/>
    <w:rsid w:val="00FD31B7"/>
    <w:rsid w:val="00FD51F7"/>
    <w:rsid w:val="00FD5E96"/>
    <w:rsid w:val="00FE04DA"/>
    <w:rsid w:val="00FE2172"/>
    <w:rsid w:val="00FE2777"/>
    <w:rsid w:val="00FE3CCD"/>
    <w:rsid w:val="00FE7666"/>
    <w:rsid w:val="00FE78A3"/>
    <w:rsid w:val="00FF0B8F"/>
    <w:rsid w:val="00FF50EE"/>
    <w:rsid w:val="00FF5EF6"/>
    <w:rsid w:val="00FF5F1B"/>
    <w:rsid w:val="00FF63B6"/>
    <w:rsid w:val="00FF712D"/>
    <w:rsid w:val="00FF77EA"/>
    <w:rsid w:val="05010BC4"/>
    <w:rsid w:val="073D6AE8"/>
    <w:rsid w:val="08B57BAB"/>
    <w:rsid w:val="0B6E7792"/>
    <w:rsid w:val="0BC17C78"/>
    <w:rsid w:val="0DA2683C"/>
    <w:rsid w:val="0DD51794"/>
    <w:rsid w:val="0E3558E2"/>
    <w:rsid w:val="10463913"/>
    <w:rsid w:val="11423BBD"/>
    <w:rsid w:val="131274CE"/>
    <w:rsid w:val="1720707D"/>
    <w:rsid w:val="17D53E03"/>
    <w:rsid w:val="185374EE"/>
    <w:rsid w:val="191D7B8A"/>
    <w:rsid w:val="1A631948"/>
    <w:rsid w:val="1AD50D73"/>
    <w:rsid w:val="1B38737F"/>
    <w:rsid w:val="1DF72B4C"/>
    <w:rsid w:val="1E707ECB"/>
    <w:rsid w:val="1EDA3123"/>
    <w:rsid w:val="21026B76"/>
    <w:rsid w:val="2213611E"/>
    <w:rsid w:val="22F01249"/>
    <w:rsid w:val="2332554E"/>
    <w:rsid w:val="23D9610A"/>
    <w:rsid w:val="24BB15A2"/>
    <w:rsid w:val="27FE6802"/>
    <w:rsid w:val="28814A83"/>
    <w:rsid w:val="289F721E"/>
    <w:rsid w:val="291B00A6"/>
    <w:rsid w:val="29B60C6F"/>
    <w:rsid w:val="2A146AD0"/>
    <w:rsid w:val="2A1C2BF7"/>
    <w:rsid w:val="2A8A372E"/>
    <w:rsid w:val="2CDD5B84"/>
    <w:rsid w:val="2E505623"/>
    <w:rsid w:val="2FCE7068"/>
    <w:rsid w:val="300B0A61"/>
    <w:rsid w:val="32FD230D"/>
    <w:rsid w:val="33680A14"/>
    <w:rsid w:val="33A92885"/>
    <w:rsid w:val="34443AB5"/>
    <w:rsid w:val="34877D66"/>
    <w:rsid w:val="34FF745B"/>
    <w:rsid w:val="36277128"/>
    <w:rsid w:val="36D44CD2"/>
    <w:rsid w:val="370D6431"/>
    <w:rsid w:val="378620B5"/>
    <w:rsid w:val="3BCD0338"/>
    <w:rsid w:val="3CBB3A09"/>
    <w:rsid w:val="3D1B66CA"/>
    <w:rsid w:val="3D281AEE"/>
    <w:rsid w:val="3FEA709F"/>
    <w:rsid w:val="40B51316"/>
    <w:rsid w:val="4125649B"/>
    <w:rsid w:val="434509CF"/>
    <w:rsid w:val="45F97EF6"/>
    <w:rsid w:val="464F4558"/>
    <w:rsid w:val="46971BE9"/>
    <w:rsid w:val="47565513"/>
    <w:rsid w:val="482F19AD"/>
    <w:rsid w:val="4967220C"/>
    <w:rsid w:val="4BC6336A"/>
    <w:rsid w:val="4CB22BAD"/>
    <w:rsid w:val="4DE516D8"/>
    <w:rsid w:val="4E6708E9"/>
    <w:rsid w:val="4EBE4F33"/>
    <w:rsid w:val="4F2B5DCC"/>
    <w:rsid w:val="4FD77C0B"/>
    <w:rsid w:val="501047BA"/>
    <w:rsid w:val="505B5E19"/>
    <w:rsid w:val="50A40695"/>
    <w:rsid w:val="50BF39BB"/>
    <w:rsid w:val="52E86D0B"/>
    <w:rsid w:val="53017AF7"/>
    <w:rsid w:val="53901E9A"/>
    <w:rsid w:val="541D4416"/>
    <w:rsid w:val="546D4478"/>
    <w:rsid w:val="565C45F6"/>
    <w:rsid w:val="56645A39"/>
    <w:rsid w:val="5A0424DA"/>
    <w:rsid w:val="5C1E63DB"/>
    <w:rsid w:val="5D521F6E"/>
    <w:rsid w:val="5D871634"/>
    <w:rsid w:val="5DE75582"/>
    <w:rsid w:val="5EA26F25"/>
    <w:rsid w:val="5ECD08E7"/>
    <w:rsid w:val="5FD63234"/>
    <w:rsid w:val="62E23D94"/>
    <w:rsid w:val="62EF4CFD"/>
    <w:rsid w:val="64D56443"/>
    <w:rsid w:val="65351FB5"/>
    <w:rsid w:val="65872532"/>
    <w:rsid w:val="6601121B"/>
    <w:rsid w:val="6648053E"/>
    <w:rsid w:val="67BD64C0"/>
    <w:rsid w:val="67C728FD"/>
    <w:rsid w:val="68A044D6"/>
    <w:rsid w:val="692575CB"/>
    <w:rsid w:val="6B9B0F84"/>
    <w:rsid w:val="6C38758C"/>
    <w:rsid w:val="6C3F53DB"/>
    <w:rsid w:val="6E1703AC"/>
    <w:rsid w:val="6E487158"/>
    <w:rsid w:val="6E7853F6"/>
    <w:rsid w:val="6F171A16"/>
    <w:rsid w:val="6F9E54E7"/>
    <w:rsid w:val="70A020C1"/>
    <w:rsid w:val="70D83112"/>
    <w:rsid w:val="71BB46C9"/>
    <w:rsid w:val="71D757DA"/>
    <w:rsid w:val="722060D2"/>
    <w:rsid w:val="7231305C"/>
    <w:rsid w:val="724B38C0"/>
    <w:rsid w:val="73081E35"/>
    <w:rsid w:val="7386076C"/>
    <w:rsid w:val="73D3007B"/>
    <w:rsid w:val="74A013B9"/>
    <w:rsid w:val="74FB17FB"/>
    <w:rsid w:val="76446CBC"/>
    <w:rsid w:val="76462FC7"/>
    <w:rsid w:val="76C22131"/>
    <w:rsid w:val="77862AE9"/>
    <w:rsid w:val="781A460E"/>
    <w:rsid w:val="79B10ED9"/>
    <w:rsid w:val="79CF0D31"/>
    <w:rsid w:val="7AFF53FF"/>
    <w:rsid w:val="7BF00E78"/>
    <w:rsid w:val="7C3C5105"/>
    <w:rsid w:val="7C654F0C"/>
    <w:rsid w:val="7E4E1A36"/>
    <w:rsid w:val="7EEC3BA6"/>
    <w:rsid w:val="7F60456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iPriority="99"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uiPriority="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8"/>
    <w:autoRedefine/>
    <w:qFormat/>
    <w:uiPriority w:val="0"/>
    <w:pPr>
      <w:keepNext/>
      <w:spacing w:before="240" w:after="60"/>
      <w:outlineLvl w:val="0"/>
    </w:pPr>
    <w:rPr>
      <w:rFonts w:ascii="Cambria" w:hAnsi="Cambria"/>
      <w:b/>
      <w:bCs/>
      <w:kern w:val="32"/>
      <w:sz w:val="32"/>
      <w:szCs w:val="32"/>
    </w:rPr>
  </w:style>
  <w:style w:type="paragraph" w:styleId="4">
    <w:name w:val="heading 3"/>
    <w:basedOn w:val="1"/>
    <w:next w:val="1"/>
    <w:autoRedefine/>
    <w:qFormat/>
    <w:uiPriority w:val="9"/>
    <w:pPr>
      <w:keepNext/>
      <w:keepLines/>
      <w:spacing w:before="50" w:beforeLines="50" w:after="50" w:afterLines="50"/>
      <w:jc w:val="center"/>
      <w:outlineLvl w:val="2"/>
    </w:pPr>
    <w:rPr>
      <w:b/>
      <w:bCs/>
      <w:sz w:val="32"/>
      <w:szCs w:val="32"/>
      <w:lang w:val="zh-CN"/>
    </w:rPr>
  </w:style>
  <w:style w:type="character" w:default="1" w:styleId="14">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1"/>
    <w:pPr>
      <w:spacing w:before="102"/>
      <w:ind w:left="112"/>
    </w:pPr>
    <w:rPr>
      <w:sz w:val="28"/>
      <w:szCs w:val="28"/>
    </w:rPr>
  </w:style>
  <w:style w:type="paragraph" w:styleId="5">
    <w:name w:val="Normal Indent"/>
    <w:basedOn w:val="1"/>
    <w:autoRedefine/>
    <w:unhideWhenUsed/>
    <w:qFormat/>
    <w:uiPriority w:val="99"/>
    <w:pPr>
      <w:widowControl/>
      <w:spacing w:line="590" w:lineRule="atLeast"/>
      <w:ind w:firstLine="420" w:firstLineChars="200"/>
    </w:pPr>
    <w:rPr>
      <w:rFonts w:ascii="Calibri" w:hAnsi="Calibri" w:cs="Calibri"/>
      <w:szCs w:val="21"/>
    </w:rPr>
  </w:style>
  <w:style w:type="paragraph" w:styleId="6">
    <w:name w:val="annotation text"/>
    <w:basedOn w:val="1"/>
    <w:link w:val="25"/>
    <w:autoRedefine/>
    <w:qFormat/>
    <w:uiPriority w:val="0"/>
    <w:pPr>
      <w:jc w:val="left"/>
    </w:pPr>
  </w:style>
  <w:style w:type="paragraph" w:styleId="7">
    <w:name w:val="Date"/>
    <w:basedOn w:val="1"/>
    <w:next w:val="1"/>
    <w:autoRedefine/>
    <w:qFormat/>
    <w:uiPriority w:val="0"/>
    <w:rPr>
      <w:rFonts w:ascii="黑体" w:eastAsia="黑体"/>
      <w:b/>
      <w:sz w:val="24"/>
      <w:szCs w:val="20"/>
    </w:rPr>
  </w:style>
  <w:style w:type="paragraph" w:styleId="8">
    <w:name w:val="Balloon Text"/>
    <w:basedOn w:val="1"/>
    <w:autoRedefine/>
    <w:semiHidden/>
    <w:qFormat/>
    <w:uiPriority w:val="0"/>
    <w:rPr>
      <w:sz w:val="18"/>
      <w:szCs w:val="18"/>
    </w:rPr>
  </w:style>
  <w:style w:type="paragraph" w:styleId="9">
    <w:name w:val="footer"/>
    <w:basedOn w:val="1"/>
    <w:link w:val="29"/>
    <w:autoRedefine/>
    <w:qFormat/>
    <w:uiPriority w:val="99"/>
    <w:pPr>
      <w:tabs>
        <w:tab w:val="center" w:pos="4153"/>
        <w:tab w:val="right" w:pos="8306"/>
      </w:tabs>
      <w:snapToGrid w:val="0"/>
      <w:jc w:val="left"/>
    </w:pPr>
    <w:rPr>
      <w:sz w:val="18"/>
      <w:szCs w:val="18"/>
    </w:rPr>
  </w:style>
  <w:style w:type="paragraph" w:styleId="10">
    <w:name w:val="header"/>
    <w:basedOn w:val="1"/>
    <w:autoRedefine/>
    <w:qFormat/>
    <w:uiPriority w:val="0"/>
    <w:pPr>
      <w:tabs>
        <w:tab w:val="center" w:pos="4320"/>
        <w:tab w:val="right" w:pos="8640"/>
      </w:tabs>
    </w:pPr>
  </w:style>
  <w:style w:type="paragraph" w:styleId="11">
    <w:name w:val="Normal (Web)"/>
    <w:basedOn w:val="1"/>
    <w:autoRedefine/>
    <w:qFormat/>
    <w:uiPriority w:val="0"/>
    <w:pPr>
      <w:widowControl/>
      <w:spacing w:before="144" w:after="144" w:line="432" w:lineRule="atLeast"/>
      <w:ind w:left="192" w:right="192" w:firstLine="480"/>
    </w:pPr>
    <w:rPr>
      <w:rFonts w:ascii="宋体" w:hAnsi="宋体" w:cs="宋体"/>
      <w:kern w:val="0"/>
      <w:sz w:val="24"/>
    </w:rPr>
  </w:style>
  <w:style w:type="paragraph" w:styleId="12">
    <w:name w:val="annotation subject"/>
    <w:basedOn w:val="6"/>
    <w:next w:val="6"/>
    <w:link w:val="26"/>
    <w:autoRedefine/>
    <w:qFormat/>
    <w:uiPriority w:val="0"/>
    <w:rPr>
      <w:b/>
      <w:bCs/>
    </w:rPr>
  </w:style>
  <w:style w:type="character" w:styleId="15">
    <w:name w:val="Strong"/>
    <w:basedOn w:val="14"/>
    <w:autoRedefine/>
    <w:qFormat/>
    <w:uiPriority w:val="22"/>
    <w:rPr>
      <w:b/>
      <w:bCs/>
    </w:rPr>
  </w:style>
  <w:style w:type="character" w:styleId="16">
    <w:name w:val="page number"/>
    <w:basedOn w:val="14"/>
    <w:autoRedefine/>
    <w:qFormat/>
    <w:uiPriority w:val="0"/>
  </w:style>
  <w:style w:type="character" w:styleId="17">
    <w:name w:val="Hyperlink"/>
    <w:autoRedefine/>
    <w:qFormat/>
    <w:uiPriority w:val="0"/>
    <w:rPr>
      <w:color w:val="0000FF"/>
      <w:u w:val="single"/>
    </w:rPr>
  </w:style>
  <w:style w:type="character" w:styleId="18">
    <w:name w:val="annotation reference"/>
    <w:autoRedefine/>
    <w:qFormat/>
    <w:uiPriority w:val="0"/>
    <w:rPr>
      <w:sz w:val="21"/>
      <w:szCs w:val="21"/>
    </w:rPr>
  </w:style>
  <w:style w:type="paragraph" w:customStyle="1" w:styleId="19">
    <w:name w:val="Char Char1 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
    <w:name w:val="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1">
    <w:name w:val="Char Char Char Char Char Char Char Char Char Char Char Char Char Char Char Char Char Char Char Char Char Char Char Char Char Char Char Char Char Char Char Char Char"/>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2">
    <w:name w:val="Default"/>
    <w:autoRedefine/>
    <w:qFormat/>
    <w:uiPriority w:val="0"/>
    <w:pPr>
      <w:autoSpaceDE w:val="0"/>
      <w:autoSpaceDN w:val="0"/>
      <w:adjustRightInd w:val="0"/>
    </w:pPr>
    <w:rPr>
      <w:rFonts w:ascii="Times New Roman" w:hAnsi="Times New Roman" w:eastAsia="宋体" w:cs="Times New Roman"/>
      <w:color w:val="000000"/>
      <w:sz w:val="24"/>
      <w:szCs w:val="24"/>
      <w:lang w:val="en-GB" w:eastAsia="zh-CN" w:bidi="ar-SA"/>
    </w:rPr>
  </w:style>
  <w:style w:type="paragraph" w:customStyle="1" w:styleId="23">
    <w:name w:val="Char Char Char Char Char Char Char Char Char Char Char Char Char Char Char Char Char Char Char Char Char Char Char Char Char Char Char Char Char Char Char Char Char1"/>
    <w:basedOn w:val="1"/>
    <w:autoRedefine/>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4">
    <w:name w:val="Char"/>
    <w:basedOn w:val="1"/>
    <w:autoRedefine/>
    <w:qFormat/>
    <w:uiPriority w:val="0"/>
  </w:style>
  <w:style w:type="character" w:customStyle="1" w:styleId="25">
    <w:name w:val="批注文字 Char"/>
    <w:link w:val="6"/>
    <w:autoRedefine/>
    <w:qFormat/>
    <w:uiPriority w:val="0"/>
    <w:rPr>
      <w:kern w:val="2"/>
      <w:sz w:val="21"/>
      <w:szCs w:val="24"/>
    </w:rPr>
  </w:style>
  <w:style w:type="character" w:customStyle="1" w:styleId="26">
    <w:name w:val="批注主题 Char"/>
    <w:link w:val="12"/>
    <w:autoRedefine/>
    <w:qFormat/>
    <w:uiPriority w:val="0"/>
    <w:rPr>
      <w:b/>
      <w:bCs/>
      <w:kern w:val="2"/>
      <w:sz w:val="21"/>
      <w:szCs w:val="24"/>
    </w:rPr>
  </w:style>
  <w:style w:type="paragraph" w:styleId="27">
    <w:name w:val="List Paragraph"/>
    <w:basedOn w:val="1"/>
    <w:autoRedefine/>
    <w:qFormat/>
    <w:uiPriority w:val="99"/>
    <w:pPr>
      <w:ind w:firstLine="420" w:firstLineChars="200"/>
    </w:pPr>
  </w:style>
  <w:style w:type="character" w:customStyle="1" w:styleId="28">
    <w:name w:val="标题 1 Char"/>
    <w:link w:val="3"/>
    <w:autoRedefine/>
    <w:qFormat/>
    <w:uiPriority w:val="0"/>
    <w:rPr>
      <w:rFonts w:ascii="Cambria" w:hAnsi="Cambria" w:eastAsia="宋体" w:cs="Times New Roman"/>
      <w:b/>
      <w:bCs/>
      <w:kern w:val="32"/>
      <w:sz w:val="32"/>
      <w:szCs w:val="32"/>
      <w:lang w:val="en-US"/>
    </w:rPr>
  </w:style>
  <w:style w:type="character" w:customStyle="1" w:styleId="29">
    <w:name w:val="页脚 Char"/>
    <w:basedOn w:val="14"/>
    <w:link w:val="9"/>
    <w:autoRedefine/>
    <w:qFormat/>
    <w:uiPriority w:val="99"/>
    <w:rPr>
      <w:kern w:val="2"/>
      <w:sz w:val="18"/>
      <w:szCs w:val="18"/>
    </w:rPr>
  </w:style>
  <w:style w:type="paragraph" w:styleId="30">
    <w:name w:val="No Spacing"/>
    <w:autoRedefine/>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1">
    <w:name w:val="修订1"/>
    <w:autoRedefine/>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35F1716-EA01-4BDF-BE41-3302029E9CEB}">
  <ds:schemaRefs/>
</ds:datastoreItem>
</file>

<file path=docProps/app.xml><?xml version="1.0" encoding="utf-8"?>
<Properties xmlns="http://schemas.openxmlformats.org/officeDocument/2006/extended-properties" xmlns:vt="http://schemas.openxmlformats.org/officeDocument/2006/docPropsVTypes">
  <Template>Normal</Template>
  <Pages>5</Pages>
  <Words>557</Words>
  <Characters>3180</Characters>
  <Lines>26</Lines>
  <Paragraphs>7</Paragraphs>
  <TotalTime>10</TotalTime>
  <ScaleCrop>false</ScaleCrop>
  <LinksUpToDate>false</LinksUpToDate>
  <CharactersWithSpaces>3730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2023-10-24T09:33:00Z</dcterms:created>
  <cp:lastPrinted>2023-12-26T02:13:00Z</cp:lastPrinted>
  <dcterms:modified xsi:type="dcterms:W3CDTF">2023-12-26T08:37:42Z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3E876749118D4DDDAC216C828F2FD56D_12</vt:lpwstr>
  </property>
</Properties>
</file>