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股票简称：宁沪高速          股票代码：600377           编号：临2023-043</w:t>
      </w:r>
    </w:p>
    <w:p>
      <w:pPr>
        <w:adjustRightInd w:val="0"/>
        <w:snapToGrid w:val="0"/>
        <w:spacing w:line="312" w:lineRule="auto"/>
        <w:jc w:val="center"/>
        <w:rPr>
          <w:b/>
          <w:sz w:val="24"/>
        </w:rPr>
      </w:pPr>
    </w:p>
    <w:p>
      <w:pPr>
        <w:adjustRightInd w:val="0"/>
        <w:snapToGrid w:val="0"/>
        <w:spacing w:line="360" w:lineRule="auto"/>
        <w:jc w:val="center"/>
        <w:rPr>
          <w:b/>
          <w:sz w:val="28"/>
          <w:szCs w:val="28"/>
        </w:rPr>
      </w:pPr>
      <w:r>
        <w:rPr>
          <w:b/>
          <w:sz w:val="28"/>
          <w:szCs w:val="28"/>
        </w:rPr>
        <w:t>江苏宁沪高速公路股份有限公司</w:t>
      </w:r>
    </w:p>
    <w:p>
      <w:pPr>
        <w:adjustRightInd w:val="0"/>
        <w:snapToGrid w:val="0"/>
        <w:spacing w:line="360" w:lineRule="auto"/>
        <w:jc w:val="center"/>
        <w:rPr>
          <w:b/>
          <w:bCs/>
          <w:sz w:val="28"/>
          <w:szCs w:val="28"/>
        </w:rPr>
      </w:pPr>
      <w:r>
        <w:rPr>
          <w:b/>
          <w:sz w:val="28"/>
          <w:szCs w:val="28"/>
        </w:rPr>
        <w:t>第十届董事会第</w:t>
      </w:r>
      <w:r>
        <w:rPr>
          <w:rFonts w:hint="eastAsia"/>
          <w:b/>
          <w:sz w:val="28"/>
          <w:szCs w:val="28"/>
        </w:rPr>
        <w:t>二十一</w:t>
      </w:r>
      <w:r>
        <w:rPr>
          <w:b/>
          <w:sz w:val="28"/>
          <w:szCs w:val="28"/>
        </w:rPr>
        <w:t>次会议决议</w:t>
      </w:r>
      <w:r>
        <w:rPr>
          <w:b/>
          <w:bCs/>
          <w:sz w:val="28"/>
          <w:szCs w:val="28"/>
        </w:rPr>
        <w:t>公告</w:t>
      </w:r>
    </w:p>
    <w:p>
      <w:pPr>
        <w:pStyle w:val="22"/>
        <w:snapToGrid w:val="0"/>
        <w:spacing w:line="360" w:lineRule="auto"/>
      </w:pPr>
      <w:r>
        <w:rPr>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wps:txbx>
                      <wps:bodyPr upright="1"/>
                    </wps:wsp>
                  </a:graphicData>
                </a:graphic>
              </wp:anchor>
            </w:drawing>
          </mc:Choice>
          <mc:Fallback>
            <w:pict>
              <v:rect id="_x0000_s1026" o:spid="_x0000_s1026" o:spt="1" style="position:absolute;left:0pt;margin-left:0pt;margin-top:11.6pt;height:49.8pt;width:451.5pt;z-index:251659264;mso-width-relative:page;mso-height-relative:page;" fillcolor="#FFFFFF" filled="t" stroked="t" coordsize="21600,21600" o:gfxdata="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QVNtp1wAAAAcBAAAPAAAAAAAA&#10;AAEAIAAAACIAAABkcnMvZG93bnJldi54bWxQSwECFAAUAAAACACHTuJA1LqSNNoBAADHAwAADgAA&#10;AAAAAAABACAAAAAmAQAAZHJzL2Uyb0RvYy54bWxQSwUGAAAAAAYABgBZAQAAcgUAAAAA&#10;">
                <v:fill on="t" focussize="0,0"/>
                <v:stroke color="#000000" miterlimit="0" joinstyle="miter"/>
                <v:imagedata o:title=""/>
                <o:lock v:ext="edit" aspectratio="f"/>
                <v:textbox>
                  <w:txbxContent>
                    <w:p>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pPr>
        <w:pStyle w:val="22"/>
        <w:snapToGrid w:val="0"/>
        <w:spacing w:line="360" w:lineRule="auto"/>
      </w:pPr>
    </w:p>
    <w:p>
      <w:pPr>
        <w:pStyle w:val="22"/>
        <w:snapToGrid w:val="0"/>
        <w:spacing w:line="360" w:lineRule="auto"/>
      </w:pPr>
    </w:p>
    <w:p>
      <w:pPr>
        <w:autoSpaceDE w:val="0"/>
        <w:autoSpaceDN w:val="0"/>
        <w:adjustRightInd w:val="0"/>
        <w:spacing w:line="360" w:lineRule="auto"/>
        <w:ind w:firstLine="482" w:firstLineChars="200"/>
        <w:jc w:val="left"/>
        <w:rPr>
          <w:rFonts w:asciiTheme="minorEastAsia" w:hAnsiTheme="minorEastAsia" w:eastAsiaTheme="minorEastAsia"/>
          <w:b/>
          <w:sz w:val="24"/>
        </w:rPr>
      </w:pPr>
      <w:r>
        <w:rPr>
          <w:rFonts w:asciiTheme="minorEastAsia" w:hAnsiTheme="minorEastAsia" w:eastAsiaTheme="minorEastAsia"/>
          <w:b/>
          <w:sz w:val="24"/>
        </w:rPr>
        <w:t>一、会议召开情况</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（一）江苏宁沪高速公路股份有限公司（以下简称“本公司”）第十届董事会第二十一次会议（以下简称“会议”）于2023年10月27日以现场会议及视频会议相结合的方式召开。</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（二）会议通知以邮件或专人送达的方式向董事会全体成员发出。</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（三）会议应表决董事13人，会议出席董事13人。</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（四）会议的召开符合《公司法》及本公司《章程》的有关规定，会议决议为有效决议。</w:t>
      </w:r>
    </w:p>
    <w:p>
      <w:pPr>
        <w:pStyle w:val="27"/>
        <w:autoSpaceDE w:val="0"/>
        <w:autoSpaceDN w:val="0"/>
        <w:adjustRightInd w:val="0"/>
        <w:spacing w:line="360" w:lineRule="auto"/>
        <w:ind w:firstLine="480"/>
        <w:jc w:val="left"/>
        <w:rPr>
          <w:rFonts w:cs="宋体" w:asciiTheme="minorEastAsia" w:hAnsiTheme="minorEastAsia" w:eastAsiaTheme="minorEastAsia"/>
          <w:sz w:val="24"/>
        </w:rPr>
      </w:pPr>
    </w:p>
    <w:p>
      <w:pPr>
        <w:pStyle w:val="27"/>
        <w:autoSpaceDE w:val="0"/>
        <w:autoSpaceDN w:val="0"/>
        <w:adjustRightInd w:val="0"/>
        <w:spacing w:line="360" w:lineRule="auto"/>
        <w:ind w:firstLine="482"/>
        <w:jc w:val="left"/>
        <w:rPr>
          <w:rFonts w:cs="宋体" w:asciiTheme="minorEastAsia" w:hAnsiTheme="minorEastAsia" w:eastAsiaTheme="minorEastAsia"/>
          <w:b/>
          <w:sz w:val="24"/>
        </w:rPr>
      </w:pPr>
      <w:r>
        <w:rPr>
          <w:rFonts w:hint="eastAsia" w:cs="宋体" w:asciiTheme="minorEastAsia" w:hAnsiTheme="minorEastAsia" w:eastAsiaTheme="minorEastAsia"/>
          <w:b/>
          <w:sz w:val="24"/>
        </w:rPr>
        <w:t>二、会议审议情况</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本次会议审议并通过如下议案：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审议并批准本公司2023年第三季度报告，以中文在中国证券报、证券时报、上海证券报及上海证券交易所网站www.sse.com.cn刊登，以中英文在香港联合交易所有限公司网站www.hkexnews.hk及本公司网站www.jsexpressway.com刊登。</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表决结果：同意13票；反对0票；弃权0票。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（二）审议并批准本公司2023年第三季度总经理工作报告。</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表决结果：同意13票；反对0票；弃权0票。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pStyle w:val="2"/>
        <w:ind w:firstLine="420"/>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（三）审议并批准《关于本公司全资子公司江苏云杉清洁能源投资控股有限公司（以下简称“云杉清能公司”）参与设立合资公司投资建设三峡泰州海陵110MW渔光互补项目的议案》。</w:t>
      </w:r>
    </w:p>
    <w:p>
      <w:pPr>
        <w:adjustRightInd w:val="0"/>
        <w:spacing w:line="360" w:lineRule="auto"/>
        <w:ind w:firstLine="480" w:firstLineChars="200"/>
        <w:rPr>
          <w:rFonts w:eastAsia="PMingLiU" w:asciiTheme="minorEastAsia" w:hAnsiTheme="minorEastAsia"/>
          <w:sz w:val="24"/>
        </w:rPr>
      </w:pPr>
      <w:r>
        <w:rPr>
          <w:rFonts w:hint="eastAsia" w:asciiTheme="minorEastAsia" w:hAnsiTheme="minorEastAsia" w:eastAsiaTheme="minorEastAsia"/>
          <w:sz w:val="24"/>
        </w:rPr>
        <w:t>同意本公司全资子公司云杉清能公司与本公司及本公司的关联</w:t>
      </w:r>
      <w:r>
        <w:rPr>
          <w:rFonts w:asciiTheme="minorEastAsia" w:hAnsiTheme="minorEastAsia" w:eastAsiaTheme="minorEastAsia"/>
          <w:sz w:val="24"/>
        </w:rPr>
        <w:t>/关连人士以外的独立第三方</w:t>
      </w:r>
      <w:r>
        <w:rPr>
          <w:rFonts w:hint="eastAsia" w:asciiTheme="minorEastAsia" w:hAnsiTheme="minorEastAsia" w:eastAsiaTheme="minorEastAsia"/>
          <w:sz w:val="24"/>
        </w:rPr>
        <w:t>长江三峡集团江苏能源投资有限公司（以下简称“三峡江苏”）、上海晟德瑞投资开发有限公司（以下简称“上海晟德瑞”）成立合资公司，共同投资建设三峡泰州海陵110MW集中式光伏电站项目。合资公司初始注册资本人民币1,150万元，云杉清能公司股权比例30%，认缴金额人民币345万元。三峡江苏股权比例51%，上海晟德瑞股权比例19%。</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表决结果：同意13票；反对0票；弃权0票。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（四）审议并批准《关于本公司全资子公司云杉清能公司参与设立合资公司投资建设三峡常州新北85MW渔光互补项目的议案》。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同意本公司全资子公司云杉清能公司与本公司及本公司的关联</w:t>
      </w:r>
      <w:r>
        <w:rPr>
          <w:rFonts w:asciiTheme="minorEastAsia" w:hAnsiTheme="minorEastAsia" w:eastAsiaTheme="minorEastAsia"/>
          <w:sz w:val="24"/>
        </w:rPr>
        <w:t>/关连人士以外的独立第三方</w:t>
      </w:r>
      <w:r>
        <w:rPr>
          <w:rFonts w:hint="eastAsia" w:asciiTheme="minorEastAsia" w:hAnsiTheme="minorEastAsia" w:eastAsiaTheme="minorEastAsia"/>
          <w:sz w:val="24"/>
        </w:rPr>
        <w:t>三峡江苏、上海晟德瑞成立合资公司，共同投资建设三峡常州新北85MW集中式光伏电站项目。合资公司注册资本人民币5,000万元，云杉清能按照股比20%，认缴金额人民币1,000万元</w:t>
      </w:r>
      <w:bookmarkStart w:id="0" w:name="_GoBack"/>
      <w:bookmarkEnd w:id="0"/>
      <w:r>
        <w:rPr>
          <w:rFonts w:hint="eastAsia" w:asciiTheme="minorEastAsia" w:hAnsiTheme="minorEastAsia" w:eastAsiaTheme="minorEastAsia"/>
          <w:sz w:val="24"/>
        </w:rPr>
        <w:t>，三峡江苏股权比例51%，上海晟德瑞股权比例29%。</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表决结果：同意13票；反对0票；弃权0票。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（五）审议并批准《关于本公司全资子公司江苏宁沪投资发展有限责任公司（以下简称“宁沪投资公司”）与江苏交通文化传媒有限公司（以下简称“交通传媒公司”）的关联/关连交易议案》。</w:t>
      </w:r>
    </w:p>
    <w:p>
      <w:pPr>
        <w:widowControl/>
        <w:autoSpaceDE w:val="0"/>
        <w:autoSpaceDN w:val="0"/>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同意本公司全资子公司宁沪投资公司将17根广告立柱资产转让给交通传媒公司，转让金额人民币79万元（高于由</w:t>
      </w:r>
      <w:r>
        <w:rPr>
          <w:rFonts w:hint="eastAsia" w:ascii="宋体" w:hAnsi="宋体" w:cs="仿宋_GB2312"/>
          <w:kern w:val="0"/>
          <w:sz w:val="24"/>
          <w:lang w:val="en-AU"/>
        </w:rPr>
        <w:t>北京北方亚事资产评估事务所</w:t>
      </w:r>
      <w:r>
        <w:rPr>
          <w:rFonts w:ascii="宋体" w:hAnsi="宋体" w:cs="仿宋_GB2312"/>
          <w:kern w:val="0"/>
          <w:sz w:val="24"/>
          <w:lang w:val="en-AU"/>
        </w:rPr>
        <w:t>(</w:t>
      </w:r>
      <w:r>
        <w:rPr>
          <w:rFonts w:hint="eastAsia" w:ascii="宋体" w:hAnsi="宋体" w:cs="仿宋_GB2312"/>
          <w:kern w:val="0"/>
          <w:sz w:val="24"/>
          <w:lang w:val="en-AU"/>
        </w:rPr>
        <w:t>特殊普通合伙</w:t>
      </w:r>
      <w:r>
        <w:rPr>
          <w:rFonts w:ascii="宋体" w:hAnsi="宋体" w:cs="仿宋_GB2312"/>
          <w:kern w:val="0"/>
          <w:sz w:val="24"/>
          <w:lang w:val="en-AU"/>
        </w:rPr>
        <w:t>)</w:t>
      </w:r>
      <w:r>
        <w:rPr>
          <w:rFonts w:hint="eastAsia" w:ascii="宋体" w:hAnsi="宋体" w:cs="仿宋_GB2312"/>
          <w:kern w:val="0"/>
          <w:sz w:val="24"/>
          <w:lang w:val="en-AU"/>
        </w:rPr>
        <w:t>基准日为2023 年1 月30 日出具的</w:t>
      </w:r>
      <w:r>
        <w:rPr>
          <w:rFonts w:hint="eastAsia" w:asciiTheme="minorEastAsia" w:hAnsiTheme="minorEastAsia" w:eastAsiaTheme="minorEastAsia"/>
          <w:sz w:val="24"/>
        </w:rPr>
        <w:t>评估价人民币</w:t>
      </w:r>
      <w:r>
        <w:rPr>
          <w:rFonts w:asciiTheme="minorEastAsia" w:hAnsiTheme="minorEastAsia" w:eastAsiaTheme="minorEastAsia"/>
          <w:sz w:val="24"/>
        </w:rPr>
        <w:t>787</w:t>
      </w:r>
      <w:r>
        <w:rPr>
          <w:rFonts w:hint="eastAsia" w:asciiTheme="minorEastAsia" w:hAnsiTheme="minorEastAsia" w:eastAsiaTheme="minorEastAsia"/>
          <w:sz w:val="24"/>
        </w:rPr>
        <w:t>,</w:t>
      </w:r>
      <w:r>
        <w:rPr>
          <w:rFonts w:asciiTheme="minorEastAsia" w:hAnsiTheme="minorEastAsia" w:eastAsiaTheme="minorEastAsia"/>
          <w:sz w:val="24"/>
        </w:rPr>
        <w:t>800</w:t>
      </w:r>
      <w:r>
        <w:rPr>
          <w:rFonts w:hint="eastAsia" w:asciiTheme="minorEastAsia" w:hAnsiTheme="minorEastAsia" w:eastAsiaTheme="minorEastAsia"/>
          <w:sz w:val="24"/>
        </w:rPr>
        <w:t>元（含税））。</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（六）审议并批准《关于本公司增补江苏高速公路能源发展有限公司（以下简称“高速能源公司”）所属茅山、长荡湖、滆湖、荣炳服务区加油站租赁经营的日常关联/持续关连交易额度的议案》。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同意本公司与高速能源公司就高速能源公司租赁经营本公司的茅山、长荡湖、滆湖、荣炳服务区加油站事项，追加原协议期间（2023年5月1日至2024年4月30日）的关联/关连交易额度人民币800万元，其中2023年5月1日至2023年12月31日不超过人民币360万元，2024年1月1日至2024年4月30日不超过人民币440万元；批准日常关联/持续关连交易公告内容并授权公司秘书姚永嘉先生于补充协议签订后予以公告。</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2" w:firstLineChars="200"/>
        <w:rPr>
          <w:rFonts w:asciiTheme="minorEastAsia" w:hAnsiTheme="minorEastAsia" w:eastAsiaTheme="minorEastAsia"/>
          <w:b/>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（七）审议并批准《关于本公司增补江苏五峰山大桥有限公司（以下简称“五峰山大桥公司”）所属扬州广陵服务区加油站租赁经营的日常关联/持续关连交易额度的议案》。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同意本公司与控股子公司五峰山大桥公司就本公司经营租赁五峰山大桥公司的广陵服务区加油站事项，追加原协议期间（2023年5月1日至2024年4月30日）的关联/关连交易额度人民币1,050万元，其中2023年5月1日至2023年12月31日不超过人民币640万元，2024年1月1日至2024年4月30日不超过人民币410万元；批准日常关联/持续关连交易公告内容并授权公司秘书姚永嘉先生于补充协议签订后予以公告。</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（八）审议并批准《关于本公司与南京感动科技有限公司（以下简称“感动科技公司”）的日常关联/持续关连交易议案》。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1、同意本公司与感动科技公司签署关联交易协议，由感动科技公司向本公司提供智慧高速建设服务，协议金额不超过人民币772万元，协议期限自2023年11月1日至2023年12月31日；批准日常关联/持续关连交易公告内容并授权公司秘书姚永嘉先生于协议签订后予以公告。 </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同意本公司与感动科技公司、华设设计集团股份有限公司签署关联交易协议，由上述两家单位向本公司提供数字宁沪咨询服务，协议总金额不超过人民币80万元，其中感动科技所占总额不超过人民币24万元，协议期限自2023年11月1日至2023年12月31日；批准日常关联/持续关连交易公告内容并授权公司秘书姚永嘉先生于协议签订后予以公告。</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（九）审议并批准《关于增补本公司与江苏通行宝智慧交通科技股份有限公司（以下简称“通行宝公司”）ETC加油聚合支付技术服务合同日常关联/持续关连交易额度的议案》。</w:t>
      </w:r>
    </w:p>
    <w:p>
      <w:pPr>
        <w:adjustRightInd w:val="0"/>
        <w:spacing w:line="360" w:lineRule="auto"/>
        <w:ind w:firstLine="480" w:firstLineChars="200"/>
        <w:rPr>
          <w:rFonts w:asciiTheme="minorEastAsia" w:hAnsiTheme="minorEastAsia" w:eastAsiaTheme="minorEastAsia"/>
          <w:b/>
          <w:sz w:val="24"/>
        </w:rPr>
      </w:pPr>
      <w:r>
        <w:rPr>
          <w:rFonts w:hint="eastAsia" w:asciiTheme="minorEastAsia" w:hAnsiTheme="minorEastAsia" w:eastAsiaTheme="minorEastAsia"/>
          <w:sz w:val="24"/>
        </w:rPr>
        <w:t>同意本公司就通行宝公司向本公司提供ETC加油聚合支付技术服务，追加原协议期间（2023年5月1日至2024年4月30日）与通行宝公司的关联/关连交易额度人民币100万元，其中2023年5月1日至2023年12月31日不超过人民币50万元，2024年1月1日至2024年4月30日不超过人民币50万元；追加调整后，就通行宝公司向本公司提供ETC加油聚合支付技术服务的</w:t>
      </w:r>
      <w:r>
        <w:rPr>
          <w:rFonts w:hint="eastAsia" w:asciiTheme="minorEastAsia" w:hAnsiTheme="minorEastAsia" w:eastAsiaTheme="minorEastAsia"/>
          <w:color w:val="000000"/>
          <w:sz w:val="24"/>
        </w:rPr>
        <w:t>关联</w:t>
      </w:r>
      <w:r>
        <w:rPr>
          <w:rFonts w:hint="eastAsia" w:asciiTheme="minorEastAsia" w:hAnsiTheme="minorEastAsia" w:eastAsiaTheme="minorEastAsia"/>
          <w:sz w:val="24"/>
        </w:rPr>
        <w:t>╱关连交易额度</w:t>
      </w:r>
      <w:r>
        <w:rPr>
          <w:rFonts w:hint="eastAsia" w:asciiTheme="minorEastAsia" w:hAnsiTheme="minorEastAsia" w:eastAsiaTheme="minorEastAsia"/>
          <w:color w:val="000000"/>
          <w:sz w:val="24"/>
        </w:rPr>
        <w:t>不超过人民币400万元，其中2023年5月1日至2023年12月31日不超过人民币250万元，2024年1月1日至2024年4月30日不超过人民币150万元</w:t>
      </w:r>
      <w:r>
        <w:rPr>
          <w:rFonts w:hint="eastAsia" w:asciiTheme="minorEastAsia" w:hAnsiTheme="minorEastAsia" w:eastAsiaTheme="minorEastAsia"/>
          <w:sz w:val="24"/>
        </w:rPr>
        <w:t>。</w:t>
      </w:r>
      <w:r>
        <w:rPr>
          <w:rFonts w:hint="eastAsia" w:asciiTheme="minorEastAsia" w:hAnsiTheme="minorEastAsia" w:eastAsiaTheme="minorEastAsia"/>
          <w:b/>
          <w:sz w:val="24"/>
        </w:rPr>
        <w:t xml:space="preserve"> </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2" w:firstLineChars="200"/>
        <w:rPr>
          <w:rFonts w:asciiTheme="minorEastAsia" w:hAnsiTheme="minorEastAsia" w:eastAsiaTheme="minorEastAsia"/>
          <w:b/>
          <w:sz w:val="24"/>
          <w:lang w:eastAsia="zh-TW"/>
        </w:rPr>
      </w:pPr>
      <w:r>
        <w:rPr>
          <w:rFonts w:hint="eastAsia" w:asciiTheme="minorEastAsia" w:hAnsiTheme="minorEastAsia" w:eastAsiaTheme="minorEastAsia"/>
          <w:b/>
          <w:sz w:val="24"/>
        </w:rPr>
        <w:t xml:space="preserve">上述第（五）至（九）项关联/持续关连交易事项中， </w:t>
      </w:r>
      <w:r>
        <w:rPr>
          <w:rFonts w:hint="eastAsia" w:asciiTheme="minorEastAsia" w:hAnsiTheme="minorEastAsia" w:eastAsiaTheme="minorEastAsia"/>
          <w:b/>
          <w:sz w:val="24"/>
          <w:lang w:eastAsia="zh-TW"/>
        </w:rPr>
        <w:t>关联/关连董事徐海北先生、王颖健先生回避表决，其余各董事均可投票。</w:t>
      </w:r>
    </w:p>
    <w:p>
      <w:pPr>
        <w:adjustRightInd w:val="0"/>
        <w:spacing w:line="360" w:lineRule="auto"/>
        <w:ind w:firstLine="480" w:firstLineChars="200"/>
        <w:rPr>
          <w:rFonts w:asciiTheme="minorEastAsia" w:hAnsiTheme="minorEastAsia" w:eastAsiaTheme="minorEastAsia"/>
          <w:sz w:val="24"/>
          <w:lang w:eastAsia="zh-TW"/>
        </w:rPr>
      </w:pPr>
      <w:r>
        <w:rPr>
          <w:rFonts w:asciiTheme="minorEastAsia" w:hAnsiTheme="minorEastAsia" w:eastAsiaTheme="minorEastAsia"/>
          <w:sz w:val="24"/>
          <w:lang w:eastAsia="zh-TW"/>
        </w:rPr>
        <w:t xml:space="preserve">   </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（十）审议并批准《关于本公司增补江苏宜长高速公路有限公司（以下简称“宜长公司”）所属张渚服务区加油站租赁经营的关联交易额度及续租的日常关联/持续关连交易议案》。</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1、同意本公司与控股子公司宜长公司就本公司租赁经营宜长高速所属张渚服务区加油站事项，追加原协议期间（2021年1月20日至2024年1月19日的关联/关连交易额度人民币118万元，追加调整后，关联╱关连交易额度不超过人民币650万元。</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0" w:firstLineChars="200"/>
        <w:rPr>
          <w:rFonts w:asciiTheme="minorEastAsia" w:hAnsiTheme="minorEastAsia" w:eastAsiaTheme="minorEastAsia"/>
          <w:sz w:val="24"/>
        </w:rPr>
      </w:pPr>
      <w:r>
        <w:rPr>
          <w:rFonts w:hint="eastAsia" w:asciiTheme="minorEastAsia" w:hAnsiTheme="minorEastAsia" w:eastAsiaTheme="minorEastAsia"/>
          <w:sz w:val="24"/>
        </w:rPr>
        <w:t>2、同意本公司与控股子公司宜长公司签署续租协议，宜长公司将所属张渚服务区加油站租赁给本公司经营管理，协议期限自2024年1月20日至2025年4月30日，关联/关连交易额度不超过人民币650万元（其中2024年1月20日至2024年12月31日不超过人民币450万元，2025年1月1日至2025年4月30日不超过人民币200万元。）</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表决结果：同意11票；反对0票；弃权0票。</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此议案获得通过。</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上述日常关联/持续关连交易事项中，关联/关连董事吴新华先生、李晓艳女士回避表决，其余各董事均可投票。</w:t>
      </w:r>
    </w:p>
    <w:p>
      <w:pPr>
        <w:pStyle w:val="2"/>
        <w:ind w:firstLine="420"/>
      </w:pP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所有董事（包括独立非执行董事）认为上述（五）至（十）项关联/关连交易事项是在本公司日常业务中进行，属一般商业条款，交易条款公平合理，公司的收入、利润对该类交易并不存在依赖性，也不存在影响本公司作为上市公司独立性的情形，对本公司并无负面影响，不会损害本公司及非关联股东利益，尤其是中小股东的利益，且符合本公司及其股东的整体利益。</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根据上海证券交易所股票上市规则，上述第（七）项交易，五峰山大桥公司不属于本公司的关联方，第（八）项关联交易由于是感动科技公司参与本公司公开招标，可免于按照关联交易的方式审议披露；其余（五）、（六）、（九）、（十）项关联交易事项未达到上市公司最近一期经审计净资产绝对值0.5%以上，亦未达到上海证券交易所股票上市规则关联交易的披露标准。</w:t>
      </w:r>
    </w:p>
    <w:p>
      <w:pPr>
        <w:adjustRightInd w:val="0"/>
        <w:spacing w:line="360" w:lineRule="auto"/>
        <w:ind w:firstLine="482" w:firstLineChars="200"/>
        <w:rPr>
          <w:rFonts w:asciiTheme="minorEastAsia" w:hAnsiTheme="minorEastAsia" w:eastAsiaTheme="minorEastAsia"/>
          <w:b/>
          <w:sz w:val="24"/>
        </w:rPr>
      </w:pPr>
      <w:r>
        <w:rPr>
          <w:rFonts w:hint="eastAsia" w:asciiTheme="minorEastAsia" w:hAnsiTheme="minorEastAsia" w:eastAsiaTheme="minorEastAsia"/>
          <w:b/>
          <w:sz w:val="24"/>
        </w:rPr>
        <w:t>根据香港上市规则第</w:t>
      </w:r>
      <w:r>
        <w:rPr>
          <w:rFonts w:asciiTheme="minorEastAsia" w:hAnsiTheme="minorEastAsia" w:eastAsiaTheme="minorEastAsia"/>
          <w:b/>
          <w:sz w:val="24"/>
        </w:rPr>
        <w:t>14A.76(1)</w:t>
      </w:r>
      <w:r>
        <w:rPr>
          <w:rFonts w:hint="eastAsia" w:asciiTheme="minorEastAsia" w:hAnsiTheme="minorEastAsia" w:eastAsiaTheme="minorEastAsia"/>
          <w:b/>
          <w:sz w:val="24"/>
        </w:rPr>
        <w:t>条</w:t>
      </w:r>
      <w:r>
        <w:rPr>
          <w:rFonts w:asciiTheme="minorEastAsia" w:hAnsiTheme="minorEastAsia" w:eastAsiaTheme="minorEastAsia"/>
          <w:b/>
          <w:sz w:val="24"/>
        </w:rPr>
        <w:t>,</w:t>
      </w:r>
      <w:r>
        <w:rPr>
          <w:rFonts w:hint="eastAsia" w:asciiTheme="minorEastAsia" w:hAnsiTheme="minorEastAsia" w:eastAsiaTheme="minorEastAsia"/>
          <w:b/>
          <w:sz w:val="24"/>
        </w:rPr>
        <w:t>上述（五）</w:t>
      </w:r>
      <w:r>
        <w:rPr>
          <w:rFonts w:asciiTheme="minorEastAsia" w:hAnsiTheme="minorEastAsia" w:eastAsiaTheme="minorEastAsia"/>
          <w:b/>
          <w:sz w:val="24"/>
        </w:rPr>
        <w:t>,</w:t>
      </w:r>
      <w:r>
        <w:rPr>
          <w:rFonts w:hint="eastAsia" w:asciiTheme="minorEastAsia" w:hAnsiTheme="minorEastAsia" w:eastAsiaTheme="minorEastAsia"/>
          <w:b/>
          <w:sz w:val="24"/>
        </w:rPr>
        <w:t>（九）及（十）项交易</w:t>
      </w:r>
      <w:r>
        <w:rPr>
          <w:rFonts w:hint="eastAsia" w:ascii="MSungHK-Bold" w:cs="MSungHK-Bold"/>
          <w:b/>
          <w:bCs/>
          <w:kern w:val="0"/>
          <w:sz w:val="26"/>
          <w:szCs w:val="26"/>
          <w:lang w:val="en-AU"/>
        </w:rPr>
        <w:t>是</w:t>
      </w:r>
      <w:r>
        <w:rPr>
          <w:rFonts w:hint="eastAsia" w:asciiTheme="minorEastAsia" w:hAnsiTheme="minorEastAsia" w:eastAsiaTheme="minorEastAsia"/>
          <w:b/>
          <w:sz w:val="24"/>
        </w:rPr>
        <w:t>符合最低豁免水平的持续关连交易（除第（五）项为关连交易外，（九）及（十）项均为持续关连交易），可获得全面豁免遵守关连交易股东批准及所有披露规定。其余第（六）至（八）项之交易，根据香港上市规则第</w:t>
      </w:r>
      <w:r>
        <w:rPr>
          <w:rFonts w:asciiTheme="minorEastAsia" w:hAnsiTheme="minorEastAsia" w:eastAsiaTheme="minorEastAsia"/>
          <w:b/>
          <w:sz w:val="24"/>
        </w:rPr>
        <w:t>14A.76(2)(a)</w:t>
      </w:r>
      <w:r>
        <w:rPr>
          <w:rFonts w:hint="eastAsia" w:asciiTheme="minorEastAsia" w:hAnsiTheme="minorEastAsia" w:eastAsiaTheme="minorEastAsia"/>
          <w:b/>
          <w:sz w:val="24"/>
        </w:rPr>
        <w:t>条只须符合公告规定，但无须在股东大会上获得独立股东批准。此外，上述第（六）至（八）项之交易亦须符合香港上市规则第</w:t>
      </w:r>
      <w:r>
        <w:rPr>
          <w:rFonts w:asciiTheme="minorEastAsia" w:hAnsiTheme="minorEastAsia" w:eastAsiaTheme="minorEastAsia"/>
          <w:b/>
          <w:sz w:val="24"/>
        </w:rPr>
        <w:t>14A.55</w:t>
      </w:r>
      <w:r>
        <w:rPr>
          <w:rFonts w:hint="eastAsia" w:asciiTheme="minorEastAsia" w:hAnsiTheme="minorEastAsia" w:eastAsiaTheme="minorEastAsia"/>
          <w:b/>
          <w:sz w:val="24"/>
        </w:rPr>
        <w:t>至</w:t>
      </w:r>
      <w:r>
        <w:rPr>
          <w:rFonts w:asciiTheme="minorEastAsia" w:hAnsiTheme="minorEastAsia" w:eastAsiaTheme="minorEastAsia"/>
          <w:b/>
          <w:sz w:val="24"/>
        </w:rPr>
        <w:t>14A.59</w:t>
      </w:r>
      <w:r>
        <w:rPr>
          <w:rFonts w:hint="eastAsia" w:asciiTheme="minorEastAsia" w:hAnsiTheme="minorEastAsia" w:eastAsiaTheme="minorEastAsia"/>
          <w:b/>
          <w:sz w:val="24"/>
        </w:rPr>
        <w:t>条年度审核的规定。</w:t>
      </w:r>
    </w:p>
    <w:p>
      <w:pPr>
        <w:pStyle w:val="2"/>
        <w:ind w:firstLine="420"/>
      </w:pPr>
    </w:p>
    <w:p>
      <w:pPr>
        <w:adjustRightInd w:val="0"/>
        <w:snapToGrid w:val="0"/>
        <w:spacing w:line="360" w:lineRule="auto"/>
        <w:rPr>
          <w:rFonts w:cs="宋体" w:asciiTheme="minorEastAsia" w:hAnsiTheme="minorEastAsia" w:eastAsiaTheme="minorEastAsia"/>
          <w:b/>
          <w:sz w:val="24"/>
        </w:rPr>
      </w:pPr>
      <w:r>
        <w:rPr>
          <w:rFonts w:hint="eastAsia" w:cs="宋体" w:asciiTheme="minorEastAsia" w:hAnsiTheme="minorEastAsia" w:eastAsiaTheme="minorEastAsia"/>
          <w:b/>
          <w:sz w:val="24"/>
        </w:rPr>
        <w:t>特此公告。</w:t>
      </w:r>
    </w:p>
    <w:p>
      <w:pPr>
        <w:pStyle w:val="2"/>
        <w:spacing w:line="360" w:lineRule="auto"/>
        <w:ind w:firstLine="480" w:firstLineChars="200"/>
        <w:rPr>
          <w:rFonts w:asciiTheme="minorEastAsia" w:hAnsiTheme="minorEastAsia" w:eastAsiaTheme="minorEastAsia"/>
          <w:sz w:val="24"/>
          <w:szCs w:val="24"/>
        </w:rPr>
      </w:pPr>
      <w:r>
        <w:rPr>
          <w:rFonts w:hint="eastAsia" w:asciiTheme="minorEastAsia" w:hAnsiTheme="minorEastAsia" w:eastAsiaTheme="minorEastAsia"/>
          <w:sz w:val="24"/>
          <w:szCs w:val="24"/>
        </w:rPr>
        <w:t xml:space="preserve"> </w:t>
      </w:r>
    </w:p>
    <w:p>
      <w:pPr>
        <w:pStyle w:val="2"/>
        <w:spacing w:line="360" w:lineRule="auto"/>
        <w:ind w:firstLine="480" w:firstLineChars="200"/>
        <w:rPr>
          <w:rFonts w:asciiTheme="minorEastAsia" w:hAnsiTheme="minorEastAsia" w:eastAsiaTheme="minorEastAsia"/>
          <w:sz w:val="24"/>
          <w:szCs w:val="24"/>
        </w:rPr>
      </w:pPr>
    </w:p>
    <w:p>
      <w:pPr>
        <w:adjustRightInd w:val="0"/>
        <w:spacing w:line="360" w:lineRule="auto"/>
        <w:ind w:firstLine="482" w:firstLineChars="200"/>
        <w:jc w:val="right"/>
        <w:rPr>
          <w:rFonts w:cs="宋体" w:asciiTheme="minorEastAsia" w:hAnsiTheme="minorEastAsia" w:eastAsiaTheme="minorEastAsia"/>
          <w:b/>
          <w:sz w:val="24"/>
        </w:rPr>
      </w:pPr>
      <w:r>
        <w:rPr>
          <w:rFonts w:hint="eastAsia" w:cs="宋体" w:asciiTheme="minorEastAsia" w:hAnsiTheme="minorEastAsia" w:eastAsiaTheme="minorEastAsia"/>
          <w:b/>
          <w:sz w:val="24"/>
        </w:rPr>
        <w:t>江苏宁沪高速公路股份有限公司董事会</w:t>
      </w:r>
    </w:p>
    <w:p>
      <w:pPr>
        <w:widowControl/>
        <w:spacing w:line="360" w:lineRule="auto"/>
        <w:ind w:firstLine="482" w:firstLineChars="200"/>
        <w:jc w:val="center"/>
        <w:rPr>
          <w:rFonts w:asciiTheme="minorEastAsia" w:hAnsiTheme="minorEastAsia" w:eastAsiaTheme="minorEastAsia"/>
          <w:sz w:val="24"/>
        </w:rPr>
      </w:pPr>
      <w:r>
        <w:rPr>
          <w:rFonts w:hint="eastAsia" w:cs="宋体" w:asciiTheme="minorEastAsia" w:hAnsiTheme="minorEastAsia" w:eastAsiaTheme="minorEastAsia"/>
          <w:b/>
          <w:sz w:val="24"/>
        </w:rPr>
        <w:t xml:space="preserve">                                       二〇二三年十月三十日</w:t>
      </w:r>
    </w:p>
    <w:p>
      <w:pPr>
        <w:pStyle w:val="2"/>
        <w:spacing w:line="360" w:lineRule="auto"/>
        <w:ind w:left="0"/>
        <w:rPr>
          <w:rFonts w:asciiTheme="minorEastAsia" w:hAnsiTheme="minorEastAsia" w:eastAsiaTheme="minorEastAsia"/>
          <w:sz w:val="24"/>
          <w:szCs w:val="24"/>
        </w:rPr>
      </w:pPr>
    </w:p>
    <w:sectPr>
      <w:footerReference r:id="rId3" w:type="default"/>
      <w:footerReference r:id="rId4" w:type="even"/>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PMingLiU">
    <w:altName w:val="Microsoft JhengHei UI"/>
    <w:panose1 w:val="02010601000101010101"/>
    <w:charset w:val="88"/>
    <w:family w:val="auto"/>
    <w:pitch w:val="default"/>
    <w:sig w:usb0="00000000" w:usb1="00000000" w:usb2="00000010" w:usb3="00000000" w:csb0="00100000" w:csb1="00000000"/>
  </w:font>
  <w:font w:name="MSungHK-Bold">
    <w:altName w:val="Microsoft JhengHei"/>
    <w:panose1 w:val="00000000000000000000"/>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81989"/>
    </w:sdtPr>
    <w:sdtContent>
      <w:p>
        <w:pPr>
          <w:pStyle w:val="9"/>
          <w:jc w:val="center"/>
        </w:pPr>
        <w:r>
          <w:fldChar w:fldCharType="begin"/>
        </w:r>
        <w:r>
          <w:instrText xml:space="preserve"> PAGE   \* MERGEFORMAT </w:instrText>
        </w:r>
        <w:r>
          <w:fldChar w:fldCharType="separate"/>
        </w:r>
        <w:r>
          <w:rPr>
            <w:lang w:val="zh-CN"/>
          </w:rPr>
          <w:t>1</w:t>
        </w:r>
        <w:r>
          <w:fldChar w:fldCharType="end"/>
        </w:r>
      </w:p>
    </w:sdtContent>
  </w:sdt>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separate"/>
    </w:r>
    <w:r>
      <w:rPr>
        <w:rStyle w:val="16"/>
      </w:rPr>
      <w:t>13</w:t>
    </w:r>
    <w:r>
      <w:rPr>
        <w:rStyle w:val="16"/>
      </w:rPr>
      <w:fldChar w:fldCharType="end"/>
    </w:r>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bordersDoNotSurroundHeader w:val="1"/>
  <w:bordersDoNotSurroundFooter w:val="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2620"/>
    <w:rsid w:val="000049B8"/>
    <w:rsid w:val="00005496"/>
    <w:rsid w:val="0000584F"/>
    <w:rsid w:val="00005E2E"/>
    <w:rsid w:val="00007A25"/>
    <w:rsid w:val="0001102C"/>
    <w:rsid w:val="0001126D"/>
    <w:rsid w:val="00016757"/>
    <w:rsid w:val="0001765A"/>
    <w:rsid w:val="0001785A"/>
    <w:rsid w:val="000219D2"/>
    <w:rsid w:val="00023DAA"/>
    <w:rsid w:val="00027911"/>
    <w:rsid w:val="00034190"/>
    <w:rsid w:val="00034B5F"/>
    <w:rsid w:val="00035221"/>
    <w:rsid w:val="0003783F"/>
    <w:rsid w:val="00040BA4"/>
    <w:rsid w:val="0004264D"/>
    <w:rsid w:val="0004277A"/>
    <w:rsid w:val="000441F6"/>
    <w:rsid w:val="00047746"/>
    <w:rsid w:val="00050C3B"/>
    <w:rsid w:val="00052384"/>
    <w:rsid w:val="000526CF"/>
    <w:rsid w:val="00052CD1"/>
    <w:rsid w:val="00053588"/>
    <w:rsid w:val="00054D39"/>
    <w:rsid w:val="00055039"/>
    <w:rsid w:val="000556FF"/>
    <w:rsid w:val="00056857"/>
    <w:rsid w:val="000578C0"/>
    <w:rsid w:val="00061954"/>
    <w:rsid w:val="00062157"/>
    <w:rsid w:val="00062AF9"/>
    <w:rsid w:val="00063A61"/>
    <w:rsid w:val="0006475D"/>
    <w:rsid w:val="00065DBC"/>
    <w:rsid w:val="000662A2"/>
    <w:rsid w:val="000675FE"/>
    <w:rsid w:val="000704FA"/>
    <w:rsid w:val="00071F14"/>
    <w:rsid w:val="00075A6A"/>
    <w:rsid w:val="00081055"/>
    <w:rsid w:val="0008340A"/>
    <w:rsid w:val="00085196"/>
    <w:rsid w:val="00085A31"/>
    <w:rsid w:val="00085E52"/>
    <w:rsid w:val="000868C5"/>
    <w:rsid w:val="00087F85"/>
    <w:rsid w:val="0009122F"/>
    <w:rsid w:val="00091358"/>
    <w:rsid w:val="000918C8"/>
    <w:rsid w:val="0009324F"/>
    <w:rsid w:val="00093676"/>
    <w:rsid w:val="00095F9E"/>
    <w:rsid w:val="000961BA"/>
    <w:rsid w:val="00096509"/>
    <w:rsid w:val="00097CBB"/>
    <w:rsid w:val="000A2E90"/>
    <w:rsid w:val="000A468D"/>
    <w:rsid w:val="000A4C65"/>
    <w:rsid w:val="000A4D5E"/>
    <w:rsid w:val="000A592F"/>
    <w:rsid w:val="000B1866"/>
    <w:rsid w:val="000B3998"/>
    <w:rsid w:val="000B3E86"/>
    <w:rsid w:val="000C03A3"/>
    <w:rsid w:val="000C2825"/>
    <w:rsid w:val="000C2BAC"/>
    <w:rsid w:val="000C4C63"/>
    <w:rsid w:val="000C4D4B"/>
    <w:rsid w:val="000C52EB"/>
    <w:rsid w:val="000D1A13"/>
    <w:rsid w:val="000D257A"/>
    <w:rsid w:val="000D2AE7"/>
    <w:rsid w:val="000D5ABB"/>
    <w:rsid w:val="000D5F1A"/>
    <w:rsid w:val="000D6282"/>
    <w:rsid w:val="000D79B9"/>
    <w:rsid w:val="000E092A"/>
    <w:rsid w:val="000E3D93"/>
    <w:rsid w:val="000E54EA"/>
    <w:rsid w:val="000F0AAE"/>
    <w:rsid w:val="000F2496"/>
    <w:rsid w:val="000F359A"/>
    <w:rsid w:val="000F3858"/>
    <w:rsid w:val="000F7927"/>
    <w:rsid w:val="00100B58"/>
    <w:rsid w:val="00102B2C"/>
    <w:rsid w:val="00103459"/>
    <w:rsid w:val="001048EB"/>
    <w:rsid w:val="00104EAB"/>
    <w:rsid w:val="00111BA8"/>
    <w:rsid w:val="00112BE4"/>
    <w:rsid w:val="0011478C"/>
    <w:rsid w:val="001155E7"/>
    <w:rsid w:val="00115EC1"/>
    <w:rsid w:val="00116081"/>
    <w:rsid w:val="00117179"/>
    <w:rsid w:val="00120664"/>
    <w:rsid w:val="00122022"/>
    <w:rsid w:val="0012282C"/>
    <w:rsid w:val="00123339"/>
    <w:rsid w:val="00125CB3"/>
    <w:rsid w:val="00131852"/>
    <w:rsid w:val="00132F83"/>
    <w:rsid w:val="00134E99"/>
    <w:rsid w:val="0013597A"/>
    <w:rsid w:val="00135BC3"/>
    <w:rsid w:val="00136991"/>
    <w:rsid w:val="001377DF"/>
    <w:rsid w:val="001429A7"/>
    <w:rsid w:val="00144BCE"/>
    <w:rsid w:val="001459AD"/>
    <w:rsid w:val="00147739"/>
    <w:rsid w:val="0015081A"/>
    <w:rsid w:val="001509BC"/>
    <w:rsid w:val="0015152F"/>
    <w:rsid w:val="00154752"/>
    <w:rsid w:val="00155541"/>
    <w:rsid w:val="0016175F"/>
    <w:rsid w:val="00162B1D"/>
    <w:rsid w:val="001646E8"/>
    <w:rsid w:val="001663CB"/>
    <w:rsid w:val="001677F8"/>
    <w:rsid w:val="00172E9E"/>
    <w:rsid w:val="00177EFB"/>
    <w:rsid w:val="00180024"/>
    <w:rsid w:val="00191209"/>
    <w:rsid w:val="0019168E"/>
    <w:rsid w:val="001922F0"/>
    <w:rsid w:val="00192C8E"/>
    <w:rsid w:val="00192FC7"/>
    <w:rsid w:val="00193393"/>
    <w:rsid w:val="001940B8"/>
    <w:rsid w:val="001971A5"/>
    <w:rsid w:val="001A3D57"/>
    <w:rsid w:val="001A5BDE"/>
    <w:rsid w:val="001A6F57"/>
    <w:rsid w:val="001B1BCE"/>
    <w:rsid w:val="001B35DC"/>
    <w:rsid w:val="001B56D0"/>
    <w:rsid w:val="001B62FA"/>
    <w:rsid w:val="001B7836"/>
    <w:rsid w:val="001C1E80"/>
    <w:rsid w:val="001C4325"/>
    <w:rsid w:val="001C49DE"/>
    <w:rsid w:val="001C5BD3"/>
    <w:rsid w:val="001C6A7F"/>
    <w:rsid w:val="001D1E44"/>
    <w:rsid w:val="001D26C5"/>
    <w:rsid w:val="001D2822"/>
    <w:rsid w:val="001D288C"/>
    <w:rsid w:val="001D6675"/>
    <w:rsid w:val="001D7F02"/>
    <w:rsid w:val="001E4044"/>
    <w:rsid w:val="001E4403"/>
    <w:rsid w:val="001E49EB"/>
    <w:rsid w:val="001E51EB"/>
    <w:rsid w:val="001E6D72"/>
    <w:rsid w:val="001E6FA1"/>
    <w:rsid w:val="001E71C0"/>
    <w:rsid w:val="001F0180"/>
    <w:rsid w:val="001F0626"/>
    <w:rsid w:val="001F1315"/>
    <w:rsid w:val="001F155F"/>
    <w:rsid w:val="001F16BD"/>
    <w:rsid w:val="001F2E2E"/>
    <w:rsid w:val="001F4AA5"/>
    <w:rsid w:val="001F5319"/>
    <w:rsid w:val="001F5B83"/>
    <w:rsid w:val="001F5DF3"/>
    <w:rsid w:val="001F771E"/>
    <w:rsid w:val="00200429"/>
    <w:rsid w:val="00201B70"/>
    <w:rsid w:val="00203707"/>
    <w:rsid w:val="0020484C"/>
    <w:rsid w:val="002057CE"/>
    <w:rsid w:val="00210E09"/>
    <w:rsid w:val="002126BF"/>
    <w:rsid w:val="00212D3B"/>
    <w:rsid w:val="0021500E"/>
    <w:rsid w:val="0021654F"/>
    <w:rsid w:val="00216AA0"/>
    <w:rsid w:val="00216E01"/>
    <w:rsid w:val="002207CF"/>
    <w:rsid w:val="00222B18"/>
    <w:rsid w:val="00222EE0"/>
    <w:rsid w:val="0022314C"/>
    <w:rsid w:val="002247D3"/>
    <w:rsid w:val="00225B27"/>
    <w:rsid w:val="0023118C"/>
    <w:rsid w:val="002314A5"/>
    <w:rsid w:val="00231561"/>
    <w:rsid w:val="002315C1"/>
    <w:rsid w:val="002335D7"/>
    <w:rsid w:val="002369D3"/>
    <w:rsid w:val="00236D8E"/>
    <w:rsid w:val="002410E4"/>
    <w:rsid w:val="00243E8F"/>
    <w:rsid w:val="002448B2"/>
    <w:rsid w:val="00252AF1"/>
    <w:rsid w:val="00252B07"/>
    <w:rsid w:val="00254B71"/>
    <w:rsid w:val="002607C6"/>
    <w:rsid w:val="002623BC"/>
    <w:rsid w:val="00263363"/>
    <w:rsid w:val="00265543"/>
    <w:rsid w:val="002667BC"/>
    <w:rsid w:val="00272E63"/>
    <w:rsid w:val="00273EA6"/>
    <w:rsid w:val="00274A31"/>
    <w:rsid w:val="00276069"/>
    <w:rsid w:val="002761D8"/>
    <w:rsid w:val="002765A6"/>
    <w:rsid w:val="002768C7"/>
    <w:rsid w:val="00277121"/>
    <w:rsid w:val="00277989"/>
    <w:rsid w:val="00280544"/>
    <w:rsid w:val="002809AE"/>
    <w:rsid w:val="00282094"/>
    <w:rsid w:val="002825E4"/>
    <w:rsid w:val="0028341C"/>
    <w:rsid w:val="0028581E"/>
    <w:rsid w:val="00290175"/>
    <w:rsid w:val="00290F26"/>
    <w:rsid w:val="00291B59"/>
    <w:rsid w:val="00291BAB"/>
    <w:rsid w:val="002931D1"/>
    <w:rsid w:val="00293E03"/>
    <w:rsid w:val="002976C5"/>
    <w:rsid w:val="00297991"/>
    <w:rsid w:val="002A00E1"/>
    <w:rsid w:val="002A062B"/>
    <w:rsid w:val="002A1F3A"/>
    <w:rsid w:val="002A25DD"/>
    <w:rsid w:val="002A3B46"/>
    <w:rsid w:val="002A44CE"/>
    <w:rsid w:val="002A5C98"/>
    <w:rsid w:val="002A77F2"/>
    <w:rsid w:val="002A7EAB"/>
    <w:rsid w:val="002B004E"/>
    <w:rsid w:val="002B0E7C"/>
    <w:rsid w:val="002B140D"/>
    <w:rsid w:val="002B1826"/>
    <w:rsid w:val="002B524C"/>
    <w:rsid w:val="002C1757"/>
    <w:rsid w:val="002C18ED"/>
    <w:rsid w:val="002C5DBE"/>
    <w:rsid w:val="002D00EC"/>
    <w:rsid w:val="002D365E"/>
    <w:rsid w:val="002D40F8"/>
    <w:rsid w:val="002D43F8"/>
    <w:rsid w:val="002D5D14"/>
    <w:rsid w:val="002D5F15"/>
    <w:rsid w:val="002D64C8"/>
    <w:rsid w:val="002E01A9"/>
    <w:rsid w:val="002E33A0"/>
    <w:rsid w:val="002E45AA"/>
    <w:rsid w:val="002E704C"/>
    <w:rsid w:val="002F09F9"/>
    <w:rsid w:val="002F25EC"/>
    <w:rsid w:val="00300876"/>
    <w:rsid w:val="00300ED7"/>
    <w:rsid w:val="0030175C"/>
    <w:rsid w:val="0030381B"/>
    <w:rsid w:val="003038D1"/>
    <w:rsid w:val="00303DB1"/>
    <w:rsid w:val="00304EAC"/>
    <w:rsid w:val="00305305"/>
    <w:rsid w:val="003060DF"/>
    <w:rsid w:val="00306209"/>
    <w:rsid w:val="00307A78"/>
    <w:rsid w:val="00312E5A"/>
    <w:rsid w:val="00314AC1"/>
    <w:rsid w:val="0032199A"/>
    <w:rsid w:val="00321F71"/>
    <w:rsid w:val="00323507"/>
    <w:rsid w:val="00326D36"/>
    <w:rsid w:val="00326EC9"/>
    <w:rsid w:val="00331EB7"/>
    <w:rsid w:val="00331EE7"/>
    <w:rsid w:val="00332A81"/>
    <w:rsid w:val="0033500C"/>
    <w:rsid w:val="00335ACF"/>
    <w:rsid w:val="003369AC"/>
    <w:rsid w:val="003375CB"/>
    <w:rsid w:val="0034109E"/>
    <w:rsid w:val="00343877"/>
    <w:rsid w:val="003476FE"/>
    <w:rsid w:val="00354242"/>
    <w:rsid w:val="003549C9"/>
    <w:rsid w:val="00354F35"/>
    <w:rsid w:val="003611B2"/>
    <w:rsid w:val="0036343D"/>
    <w:rsid w:val="00363BA0"/>
    <w:rsid w:val="003643F9"/>
    <w:rsid w:val="00366AFE"/>
    <w:rsid w:val="0037028E"/>
    <w:rsid w:val="003707E9"/>
    <w:rsid w:val="00371B54"/>
    <w:rsid w:val="00371C0B"/>
    <w:rsid w:val="00371EE3"/>
    <w:rsid w:val="0037240B"/>
    <w:rsid w:val="0037494C"/>
    <w:rsid w:val="00375262"/>
    <w:rsid w:val="00376548"/>
    <w:rsid w:val="00377599"/>
    <w:rsid w:val="00381FE7"/>
    <w:rsid w:val="00383402"/>
    <w:rsid w:val="00384250"/>
    <w:rsid w:val="00384B47"/>
    <w:rsid w:val="00386988"/>
    <w:rsid w:val="00390F5C"/>
    <w:rsid w:val="0039121B"/>
    <w:rsid w:val="00392C9D"/>
    <w:rsid w:val="003957AD"/>
    <w:rsid w:val="003A0E93"/>
    <w:rsid w:val="003A78CC"/>
    <w:rsid w:val="003A7AD7"/>
    <w:rsid w:val="003A7F1F"/>
    <w:rsid w:val="003B3357"/>
    <w:rsid w:val="003B3E1C"/>
    <w:rsid w:val="003B4209"/>
    <w:rsid w:val="003B664C"/>
    <w:rsid w:val="003B6A60"/>
    <w:rsid w:val="003B7E81"/>
    <w:rsid w:val="003C0214"/>
    <w:rsid w:val="003C0344"/>
    <w:rsid w:val="003C157F"/>
    <w:rsid w:val="003C4EA7"/>
    <w:rsid w:val="003C6F1A"/>
    <w:rsid w:val="003C750D"/>
    <w:rsid w:val="003C764D"/>
    <w:rsid w:val="003D15F5"/>
    <w:rsid w:val="003D2278"/>
    <w:rsid w:val="003D46D2"/>
    <w:rsid w:val="003D54D8"/>
    <w:rsid w:val="003D5ABE"/>
    <w:rsid w:val="003D5C6C"/>
    <w:rsid w:val="003E0E50"/>
    <w:rsid w:val="003E4759"/>
    <w:rsid w:val="003E53E2"/>
    <w:rsid w:val="003F154A"/>
    <w:rsid w:val="003F31FA"/>
    <w:rsid w:val="003F5076"/>
    <w:rsid w:val="003F52BC"/>
    <w:rsid w:val="003F5B6C"/>
    <w:rsid w:val="003F6E06"/>
    <w:rsid w:val="003F6ED8"/>
    <w:rsid w:val="00400DAE"/>
    <w:rsid w:val="0040201A"/>
    <w:rsid w:val="00402726"/>
    <w:rsid w:val="0040364E"/>
    <w:rsid w:val="00403C1F"/>
    <w:rsid w:val="00405105"/>
    <w:rsid w:val="00405FDF"/>
    <w:rsid w:val="00407059"/>
    <w:rsid w:val="004074B8"/>
    <w:rsid w:val="00407B8B"/>
    <w:rsid w:val="00411BDC"/>
    <w:rsid w:val="004125DD"/>
    <w:rsid w:val="00416009"/>
    <w:rsid w:val="0041614E"/>
    <w:rsid w:val="00420D99"/>
    <w:rsid w:val="00421468"/>
    <w:rsid w:val="004217D7"/>
    <w:rsid w:val="00421EAE"/>
    <w:rsid w:val="00423E08"/>
    <w:rsid w:val="0042425D"/>
    <w:rsid w:val="0042607D"/>
    <w:rsid w:val="00427099"/>
    <w:rsid w:val="00431219"/>
    <w:rsid w:val="00431BC7"/>
    <w:rsid w:val="004361E6"/>
    <w:rsid w:val="004420C3"/>
    <w:rsid w:val="004469B2"/>
    <w:rsid w:val="00452F56"/>
    <w:rsid w:val="00454D3C"/>
    <w:rsid w:val="004628D0"/>
    <w:rsid w:val="0046461E"/>
    <w:rsid w:val="004652E0"/>
    <w:rsid w:val="00466992"/>
    <w:rsid w:val="00466C2E"/>
    <w:rsid w:val="004675DB"/>
    <w:rsid w:val="00467CA1"/>
    <w:rsid w:val="00473794"/>
    <w:rsid w:val="00474D1D"/>
    <w:rsid w:val="00475917"/>
    <w:rsid w:val="00477544"/>
    <w:rsid w:val="00480100"/>
    <w:rsid w:val="004801D1"/>
    <w:rsid w:val="004828F4"/>
    <w:rsid w:val="00483D94"/>
    <w:rsid w:val="00487562"/>
    <w:rsid w:val="00492784"/>
    <w:rsid w:val="00493113"/>
    <w:rsid w:val="004934F0"/>
    <w:rsid w:val="0049391E"/>
    <w:rsid w:val="004946D0"/>
    <w:rsid w:val="004967FD"/>
    <w:rsid w:val="004968D3"/>
    <w:rsid w:val="004A00F3"/>
    <w:rsid w:val="004A02EC"/>
    <w:rsid w:val="004A037A"/>
    <w:rsid w:val="004A4600"/>
    <w:rsid w:val="004A749A"/>
    <w:rsid w:val="004B10E0"/>
    <w:rsid w:val="004B2B41"/>
    <w:rsid w:val="004B3187"/>
    <w:rsid w:val="004C01C3"/>
    <w:rsid w:val="004C029F"/>
    <w:rsid w:val="004C3AF4"/>
    <w:rsid w:val="004C4368"/>
    <w:rsid w:val="004C5D73"/>
    <w:rsid w:val="004C6918"/>
    <w:rsid w:val="004D042E"/>
    <w:rsid w:val="004D4633"/>
    <w:rsid w:val="004D4E2C"/>
    <w:rsid w:val="004D5937"/>
    <w:rsid w:val="004D5E4B"/>
    <w:rsid w:val="004D7165"/>
    <w:rsid w:val="004E0753"/>
    <w:rsid w:val="004E148F"/>
    <w:rsid w:val="004E2694"/>
    <w:rsid w:val="004E3EC8"/>
    <w:rsid w:val="004E3FBF"/>
    <w:rsid w:val="004F4077"/>
    <w:rsid w:val="004F4341"/>
    <w:rsid w:val="004F74DA"/>
    <w:rsid w:val="00502E01"/>
    <w:rsid w:val="00503D84"/>
    <w:rsid w:val="00504C2E"/>
    <w:rsid w:val="00510C51"/>
    <w:rsid w:val="00511660"/>
    <w:rsid w:val="005131BF"/>
    <w:rsid w:val="00513844"/>
    <w:rsid w:val="005159A6"/>
    <w:rsid w:val="00520EA4"/>
    <w:rsid w:val="00521157"/>
    <w:rsid w:val="00521215"/>
    <w:rsid w:val="00523719"/>
    <w:rsid w:val="00524505"/>
    <w:rsid w:val="00525093"/>
    <w:rsid w:val="005269CB"/>
    <w:rsid w:val="00527A67"/>
    <w:rsid w:val="0053107A"/>
    <w:rsid w:val="00531AA2"/>
    <w:rsid w:val="00532C25"/>
    <w:rsid w:val="00533FFB"/>
    <w:rsid w:val="00535680"/>
    <w:rsid w:val="00537FCE"/>
    <w:rsid w:val="005405FD"/>
    <w:rsid w:val="00542BAA"/>
    <w:rsid w:val="00546BCE"/>
    <w:rsid w:val="00546D99"/>
    <w:rsid w:val="00551D30"/>
    <w:rsid w:val="00553C2C"/>
    <w:rsid w:val="00555A98"/>
    <w:rsid w:val="00555D9A"/>
    <w:rsid w:val="00557E00"/>
    <w:rsid w:val="00561AFE"/>
    <w:rsid w:val="00562458"/>
    <w:rsid w:val="00566104"/>
    <w:rsid w:val="0056758A"/>
    <w:rsid w:val="005677C4"/>
    <w:rsid w:val="005723A5"/>
    <w:rsid w:val="005725B2"/>
    <w:rsid w:val="005736F9"/>
    <w:rsid w:val="0057435F"/>
    <w:rsid w:val="0057627B"/>
    <w:rsid w:val="005768E7"/>
    <w:rsid w:val="00577FBA"/>
    <w:rsid w:val="0058071B"/>
    <w:rsid w:val="00581391"/>
    <w:rsid w:val="00581BE4"/>
    <w:rsid w:val="005820F6"/>
    <w:rsid w:val="00582CC0"/>
    <w:rsid w:val="00584949"/>
    <w:rsid w:val="00584A24"/>
    <w:rsid w:val="00585373"/>
    <w:rsid w:val="00586238"/>
    <w:rsid w:val="00586590"/>
    <w:rsid w:val="005919F1"/>
    <w:rsid w:val="00591F94"/>
    <w:rsid w:val="00592204"/>
    <w:rsid w:val="00593C5C"/>
    <w:rsid w:val="00594F58"/>
    <w:rsid w:val="005976D5"/>
    <w:rsid w:val="005A3629"/>
    <w:rsid w:val="005A7957"/>
    <w:rsid w:val="005B09A6"/>
    <w:rsid w:val="005B22DE"/>
    <w:rsid w:val="005B2A40"/>
    <w:rsid w:val="005B30A9"/>
    <w:rsid w:val="005C2052"/>
    <w:rsid w:val="005C6267"/>
    <w:rsid w:val="005C692E"/>
    <w:rsid w:val="005C74CA"/>
    <w:rsid w:val="005D047C"/>
    <w:rsid w:val="005D1C4C"/>
    <w:rsid w:val="005D3C52"/>
    <w:rsid w:val="005D3C89"/>
    <w:rsid w:val="005D5D09"/>
    <w:rsid w:val="005E02E6"/>
    <w:rsid w:val="005E26F8"/>
    <w:rsid w:val="005E2D9D"/>
    <w:rsid w:val="005E438B"/>
    <w:rsid w:val="005F2967"/>
    <w:rsid w:val="005F7C50"/>
    <w:rsid w:val="006009F4"/>
    <w:rsid w:val="0060189A"/>
    <w:rsid w:val="006019AC"/>
    <w:rsid w:val="0060421B"/>
    <w:rsid w:val="00604BA3"/>
    <w:rsid w:val="00607572"/>
    <w:rsid w:val="00610301"/>
    <w:rsid w:val="00612FF4"/>
    <w:rsid w:val="00613F2A"/>
    <w:rsid w:val="00616367"/>
    <w:rsid w:val="006167C1"/>
    <w:rsid w:val="00616B82"/>
    <w:rsid w:val="00617B9D"/>
    <w:rsid w:val="00620643"/>
    <w:rsid w:val="00621347"/>
    <w:rsid w:val="006249F2"/>
    <w:rsid w:val="0062517F"/>
    <w:rsid w:val="00632B38"/>
    <w:rsid w:val="0063400F"/>
    <w:rsid w:val="00634111"/>
    <w:rsid w:val="00634158"/>
    <w:rsid w:val="00634D7B"/>
    <w:rsid w:val="00636201"/>
    <w:rsid w:val="00636E51"/>
    <w:rsid w:val="00637C79"/>
    <w:rsid w:val="00641896"/>
    <w:rsid w:val="0064386F"/>
    <w:rsid w:val="006449BE"/>
    <w:rsid w:val="00645195"/>
    <w:rsid w:val="00646CBA"/>
    <w:rsid w:val="00650E00"/>
    <w:rsid w:val="00651FF5"/>
    <w:rsid w:val="0065259D"/>
    <w:rsid w:val="00653A96"/>
    <w:rsid w:val="00654B6A"/>
    <w:rsid w:val="006568C2"/>
    <w:rsid w:val="00660B38"/>
    <w:rsid w:val="00660D2A"/>
    <w:rsid w:val="006620AB"/>
    <w:rsid w:val="006622CE"/>
    <w:rsid w:val="0066307C"/>
    <w:rsid w:val="00663A4C"/>
    <w:rsid w:val="00664CE8"/>
    <w:rsid w:val="006660BA"/>
    <w:rsid w:val="00666D99"/>
    <w:rsid w:val="00667CA3"/>
    <w:rsid w:val="00670505"/>
    <w:rsid w:val="00670D0B"/>
    <w:rsid w:val="00671243"/>
    <w:rsid w:val="00672F48"/>
    <w:rsid w:val="00673552"/>
    <w:rsid w:val="00674C44"/>
    <w:rsid w:val="0067610C"/>
    <w:rsid w:val="006766D0"/>
    <w:rsid w:val="00677928"/>
    <w:rsid w:val="00681767"/>
    <w:rsid w:val="0068576D"/>
    <w:rsid w:val="00686903"/>
    <w:rsid w:val="00691848"/>
    <w:rsid w:val="006929BC"/>
    <w:rsid w:val="00695E4E"/>
    <w:rsid w:val="00697994"/>
    <w:rsid w:val="006A31D0"/>
    <w:rsid w:val="006A3FC1"/>
    <w:rsid w:val="006A4AB4"/>
    <w:rsid w:val="006A6121"/>
    <w:rsid w:val="006B131A"/>
    <w:rsid w:val="006B1C1F"/>
    <w:rsid w:val="006B2EB4"/>
    <w:rsid w:val="006C1723"/>
    <w:rsid w:val="006C4C18"/>
    <w:rsid w:val="006C7DAA"/>
    <w:rsid w:val="006D151C"/>
    <w:rsid w:val="006D185F"/>
    <w:rsid w:val="006D1BCF"/>
    <w:rsid w:val="006D2F90"/>
    <w:rsid w:val="006D5928"/>
    <w:rsid w:val="006D5DA8"/>
    <w:rsid w:val="006D6BFF"/>
    <w:rsid w:val="006D78F8"/>
    <w:rsid w:val="006E148C"/>
    <w:rsid w:val="006E5A3E"/>
    <w:rsid w:val="006E64B6"/>
    <w:rsid w:val="006E65AE"/>
    <w:rsid w:val="006F434D"/>
    <w:rsid w:val="00700B9B"/>
    <w:rsid w:val="00701C48"/>
    <w:rsid w:val="00701D29"/>
    <w:rsid w:val="00702596"/>
    <w:rsid w:val="007032DB"/>
    <w:rsid w:val="00703A95"/>
    <w:rsid w:val="00703DC2"/>
    <w:rsid w:val="007046A6"/>
    <w:rsid w:val="007047DF"/>
    <w:rsid w:val="00704D95"/>
    <w:rsid w:val="00705F65"/>
    <w:rsid w:val="00706C4A"/>
    <w:rsid w:val="007073CA"/>
    <w:rsid w:val="00713779"/>
    <w:rsid w:val="0071640C"/>
    <w:rsid w:val="00716DE9"/>
    <w:rsid w:val="0072147C"/>
    <w:rsid w:val="00721920"/>
    <w:rsid w:val="00721A79"/>
    <w:rsid w:val="0072399A"/>
    <w:rsid w:val="00724DED"/>
    <w:rsid w:val="0072639B"/>
    <w:rsid w:val="00731149"/>
    <w:rsid w:val="00733F0D"/>
    <w:rsid w:val="00734269"/>
    <w:rsid w:val="00737E2E"/>
    <w:rsid w:val="0074109A"/>
    <w:rsid w:val="0074150D"/>
    <w:rsid w:val="00741B34"/>
    <w:rsid w:val="00741ECA"/>
    <w:rsid w:val="00744B1B"/>
    <w:rsid w:val="00745199"/>
    <w:rsid w:val="0074602F"/>
    <w:rsid w:val="007468C4"/>
    <w:rsid w:val="00746AF7"/>
    <w:rsid w:val="00750C55"/>
    <w:rsid w:val="007511AF"/>
    <w:rsid w:val="007517DE"/>
    <w:rsid w:val="007522BE"/>
    <w:rsid w:val="00753B27"/>
    <w:rsid w:val="007541F7"/>
    <w:rsid w:val="007554FE"/>
    <w:rsid w:val="007558EA"/>
    <w:rsid w:val="007576DC"/>
    <w:rsid w:val="007577B5"/>
    <w:rsid w:val="00757E1B"/>
    <w:rsid w:val="00760F9A"/>
    <w:rsid w:val="00763534"/>
    <w:rsid w:val="00767A7B"/>
    <w:rsid w:val="00770D4C"/>
    <w:rsid w:val="00771E19"/>
    <w:rsid w:val="0077267A"/>
    <w:rsid w:val="00773DEC"/>
    <w:rsid w:val="00773EB1"/>
    <w:rsid w:val="00774D82"/>
    <w:rsid w:val="0077796A"/>
    <w:rsid w:val="00777CC7"/>
    <w:rsid w:val="00781688"/>
    <w:rsid w:val="007821D4"/>
    <w:rsid w:val="00787096"/>
    <w:rsid w:val="007877F2"/>
    <w:rsid w:val="00787AF7"/>
    <w:rsid w:val="00792B6D"/>
    <w:rsid w:val="007943B2"/>
    <w:rsid w:val="00795976"/>
    <w:rsid w:val="007978F1"/>
    <w:rsid w:val="007A0980"/>
    <w:rsid w:val="007A1FC2"/>
    <w:rsid w:val="007A3640"/>
    <w:rsid w:val="007A39CA"/>
    <w:rsid w:val="007A3F82"/>
    <w:rsid w:val="007A4D1C"/>
    <w:rsid w:val="007A4D5F"/>
    <w:rsid w:val="007A61DC"/>
    <w:rsid w:val="007A7F05"/>
    <w:rsid w:val="007B068C"/>
    <w:rsid w:val="007B212A"/>
    <w:rsid w:val="007B225B"/>
    <w:rsid w:val="007B26B6"/>
    <w:rsid w:val="007B2AD5"/>
    <w:rsid w:val="007B4709"/>
    <w:rsid w:val="007B6048"/>
    <w:rsid w:val="007C335F"/>
    <w:rsid w:val="007C6482"/>
    <w:rsid w:val="007D3182"/>
    <w:rsid w:val="007D7A5E"/>
    <w:rsid w:val="007E1A77"/>
    <w:rsid w:val="007E2B0C"/>
    <w:rsid w:val="007E3D43"/>
    <w:rsid w:val="007E4CA7"/>
    <w:rsid w:val="007E51A5"/>
    <w:rsid w:val="007F10AC"/>
    <w:rsid w:val="007F3BD3"/>
    <w:rsid w:val="007F4C1E"/>
    <w:rsid w:val="007F648B"/>
    <w:rsid w:val="0080132D"/>
    <w:rsid w:val="00801FDA"/>
    <w:rsid w:val="00802EED"/>
    <w:rsid w:val="00805899"/>
    <w:rsid w:val="00805A6E"/>
    <w:rsid w:val="0080677F"/>
    <w:rsid w:val="00813951"/>
    <w:rsid w:val="00814CC1"/>
    <w:rsid w:val="008168C2"/>
    <w:rsid w:val="008175C6"/>
    <w:rsid w:val="0081785A"/>
    <w:rsid w:val="00817F17"/>
    <w:rsid w:val="00820979"/>
    <w:rsid w:val="00821D14"/>
    <w:rsid w:val="00822588"/>
    <w:rsid w:val="0082360E"/>
    <w:rsid w:val="00824395"/>
    <w:rsid w:val="0083359B"/>
    <w:rsid w:val="008344BD"/>
    <w:rsid w:val="008349BF"/>
    <w:rsid w:val="00842549"/>
    <w:rsid w:val="0084617D"/>
    <w:rsid w:val="00846896"/>
    <w:rsid w:val="008474C5"/>
    <w:rsid w:val="00850436"/>
    <w:rsid w:val="008514BA"/>
    <w:rsid w:val="00851515"/>
    <w:rsid w:val="00851ABB"/>
    <w:rsid w:val="00851F5B"/>
    <w:rsid w:val="008525D1"/>
    <w:rsid w:val="00852F6E"/>
    <w:rsid w:val="00855E12"/>
    <w:rsid w:val="00860E75"/>
    <w:rsid w:val="00860EF8"/>
    <w:rsid w:val="0086117E"/>
    <w:rsid w:val="008613E2"/>
    <w:rsid w:val="00861526"/>
    <w:rsid w:val="008621FD"/>
    <w:rsid w:val="0086291B"/>
    <w:rsid w:val="00865FAA"/>
    <w:rsid w:val="00866CBA"/>
    <w:rsid w:val="00873144"/>
    <w:rsid w:val="008737C8"/>
    <w:rsid w:val="008760CF"/>
    <w:rsid w:val="0087667A"/>
    <w:rsid w:val="00876912"/>
    <w:rsid w:val="00876E77"/>
    <w:rsid w:val="0087724A"/>
    <w:rsid w:val="00877CE0"/>
    <w:rsid w:val="00882BFF"/>
    <w:rsid w:val="008851C4"/>
    <w:rsid w:val="00887747"/>
    <w:rsid w:val="00891C5F"/>
    <w:rsid w:val="00892F8C"/>
    <w:rsid w:val="00894360"/>
    <w:rsid w:val="00895F4C"/>
    <w:rsid w:val="0089618B"/>
    <w:rsid w:val="00897828"/>
    <w:rsid w:val="00897CEF"/>
    <w:rsid w:val="00897DA4"/>
    <w:rsid w:val="008A08CC"/>
    <w:rsid w:val="008A2FB4"/>
    <w:rsid w:val="008A4DBE"/>
    <w:rsid w:val="008A528E"/>
    <w:rsid w:val="008A5809"/>
    <w:rsid w:val="008A5BDD"/>
    <w:rsid w:val="008A6912"/>
    <w:rsid w:val="008B0040"/>
    <w:rsid w:val="008B07BB"/>
    <w:rsid w:val="008B29CB"/>
    <w:rsid w:val="008B5B1C"/>
    <w:rsid w:val="008B6B34"/>
    <w:rsid w:val="008C1D1E"/>
    <w:rsid w:val="008C2FCB"/>
    <w:rsid w:val="008C5AAD"/>
    <w:rsid w:val="008C74BE"/>
    <w:rsid w:val="008C7FB1"/>
    <w:rsid w:val="008D03ED"/>
    <w:rsid w:val="008D060E"/>
    <w:rsid w:val="008D3D23"/>
    <w:rsid w:val="008D736F"/>
    <w:rsid w:val="008D7589"/>
    <w:rsid w:val="008D7FD3"/>
    <w:rsid w:val="008E3FB0"/>
    <w:rsid w:val="008E50AB"/>
    <w:rsid w:val="008F09DA"/>
    <w:rsid w:val="008F26EB"/>
    <w:rsid w:val="008F3269"/>
    <w:rsid w:val="008F32F2"/>
    <w:rsid w:val="008F3E71"/>
    <w:rsid w:val="008F5714"/>
    <w:rsid w:val="008F775A"/>
    <w:rsid w:val="009003F7"/>
    <w:rsid w:val="009004C7"/>
    <w:rsid w:val="0090061C"/>
    <w:rsid w:val="00903F38"/>
    <w:rsid w:val="0090481C"/>
    <w:rsid w:val="0090519E"/>
    <w:rsid w:val="00905E6C"/>
    <w:rsid w:val="0090668E"/>
    <w:rsid w:val="0091022B"/>
    <w:rsid w:val="009175CC"/>
    <w:rsid w:val="00920DB4"/>
    <w:rsid w:val="009227B3"/>
    <w:rsid w:val="00922D03"/>
    <w:rsid w:val="00923A48"/>
    <w:rsid w:val="00927503"/>
    <w:rsid w:val="00927838"/>
    <w:rsid w:val="0093062E"/>
    <w:rsid w:val="00931060"/>
    <w:rsid w:val="00931DE4"/>
    <w:rsid w:val="0093655F"/>
    <w:rsid w:val="00936BDF"/>
    <w:rsid w:val="00937409"/>
    <w:rsid w:val="00940597"/>
    <w:rsid w:val="009407D6"/>
    <w:rsid w:val="0094249B"/>
    <w:rsid w:val="0094373E"/>
    <w:rsid w:val="009439D8"/>
    <w:rsid w:val="009448C8"/>
    <w:rsid w:val="009455E6"/>
    <w:rsid w:val="00947C70"/>
    <w:rsid w:val="00950FA2"/>
    <w:rsid w:val="009510C5"/>
    <w:rsid w:val="009511F4"/>
    <w:rsid w:val="0095309F"/>
    <w:rsid w:val="00953756"/>
    <w:rsid w:val="009542CB"/>
    <w:rsid w:val="00954D0E"/>
    <w:rsid w:val="00956506"/>
    <w:rsid w:val="00956A58"/>
    <w:rsid w:val="00960851"/>
    <w:rsid w:val="009608E2"/>
    <w:rsid w:val="00960C2D"/>
    <w:rsid w:val="00963A63"/>
    <w:rsid w:val="00965F59"/>
    <w:rsid w:val="0097249A"/>
    <w:rsid w:val="00972BFD"/>
    <w:rsid w:val="009733CE"/>
    <w:rsid w:val="0097605D"/>
    <w:rsid w:val="00977798"/>
    <w:rsid w:val="00980148"/>
    <w:rsid w:val="00981DF3"/>
    <w:rsid w:val="00982EDF"/>
    <w:rsid w:val="00985BA9"/>
    <w:rsid w:val="00986E30"/>
    <w:rsid w:val="00990210"/>
    <w:rsid w:val="009918CB"/>
    <w:rsid w:val="00993D69"/>
    <w:rsid w:val="0099676C"/>
    <w:rsid w:val="009978DA"/>
    <w:rsid w:val="009A0421"/>
    <w:rsid w:val="009A0545"/>
    <w:rsid w:val="009A5C4D"/>
    <w:rsid w:val="009A60C1"/>
    <w:rsid w:val="009A6DFD"/>
    <w:rsid w:val="009A7999"/>
    <w:rsid w:val="009B1940"/>
    <w:rsid w:val="009C1F92"/>
    <w:rsid w:val="009C3E84"/>
    <w:rsid w:val="009C4C67"/>
    <w:rsid w:val="009C6135"/>
    <w:rsid w:val="009D053D"/>
    <w:rsid w:val="009D0B8F"/>
    <w:rsid w:val="009D0BCF"/>
    <w:rsid w:val="009D0FBB"/>
    <w:rsid w:val="009D1593"/>
    <w:rsid w:val="009D2710"/>
    <w:rsid w:val="009D3370"/>
    <w:rsid w:val="009D4838"/>
    <w:rsid w:val="009D545D"/>
    <w:rsid w:val="009D55A2"/>
    <w:rsid w:val="009D5630"/>
    <w:rsid w:val="009D5C3D"/>
    <w:rsid w:val="009D6F73"/>
    <w:rsid w:val="009E03B9"/>
    <w:rsid w:val="009E0F0C"/>
    <w:rsid w:val="009E121D"/>
    <w:rsid w:val="009E1351"/>
    <w:rsid w:val="009E15D9"/>
    <w:rsid w:val="009E440D"/>
    <w:rsid w:val="009E5B89"/>
    <w:rsid w:val="009F1D1E"/>
    <w:rsid w:val="009F365F"/>
    <w:rsid w:val="009F4F3F"/>
    <w:rsid w:val="009F5BA9"/>
    <w:rsid w:val="00A002AD"/>
    <w:rsid w:val="00A01F7B"/>
    <w:rsid w:val="00A01FB7"/>
    <w:rsid w:val="00A07911"/>
    <w:rsid w:val="00A10662"/>
    <w:rsid w:val="00A1312B"/>
    <w:rsid w:val="00A14146"/>
    <w:rsid w:val="00A1483E"/>
    <w:rsid w:val="00A1486D"/>
    <w:rsid w:val="00A15737"/>
    <w:rsid w:val="00A15B0A"/>
    <w:rsid w:val="00A16950"/>
    <w:rsid w:val="00A23602"/>
    <w:rsid w:val="00A24BB0"/>
    <w:rsid w:val="00A255E6"/>
    <w:rsid w:val="00A25CDD"/>
    <w:rsid w:val="00A26518"/>
    <w:rsid w:val="00A2684A"/>
    <w:rsid w:val="00A30821"/>
    <w:rsid w:val="00A30BBD"/>
    <w:rsid w:val="00A3253A"/>
    <w:rsid w:val="00A33409"/>
    <w:rsid w:val="00A3424A"/>
    <w:rsid w:val="00A34BEA"/>
    <w:rsid w:val="00A35B9F"/>
    <w:rsid w:val="00A36245"/>
    <w:rsid w:val="00A37208"/>
    <w:rsid w:val="00A44863"/>
    <w:rsid w:val="00A44A1A"/>
    <w:rsid w:val="00A45C86"/>
    <w:rsid w:val="00A47E18"/>
    <w:rsid w:val="00A505F8"/>
    <w:rsid w:val="00A51235"/>
    <w:rsid w:val="00A515DE"/>
    <w:rsid w:val="00A526F4"/>
    <w:rsid w:val="00A53787"/>
    <w:rsid w:val="00A53987"/>
    <w:rsid w:val="00A540E1"/>
    <w:rsid w:val="00A541BC"/>
    <w:rsid w:val="00A55B1A"/>
    <w:rsid w:val="00A55B8B"/>
    <w:rsid w:val="00A605F2"/>
    <w:rsid w:val="00A664C4"/>
    <w:rsid w:val="00A66FE4"/>
    <w:rsid w:val="00A704D0"/>
    <w:rsid w:val="00A71715"/>
    <w:rsid w:val="00A7242F"/>
    <w:rsid w:val="00A72AFD"/>
    <w:rsid w:val="00A7351A"/>
    <w:rsid w:val="00A735FA"/>
    <w:rsid w:val="00A74A96"/>
    <w:rsid w:val="00A763C9"/>
    <w:rsid w:val="00A766C6"/>
    <w:rsid w:val="00A77D9B"/>
    <w:rsid w:val="00A800C6"/>
    <w:rsid w:val="00A83760"/>
    <w:rsid w:val="00A83F2B"/>
    <w:rsid w:val="00A87831"/>
    <w:rsid w:val="00A90778"/>
    <w:rsid w:val="00A979BA"/>
    <w:rsid w:val="00AA1537"/>
    <w:rsid w:val="00AA2B7B"/>
    <w:rsid w:val="00AA34F0"/>
    <w:rsid w:val="00AA47DB"/>
    <w:rsid w:val="00AA4C13"/>
    <w:rsid w:val="00AA5B0C"/>
    <w:rsid w:val="00AA700C"/>
    <w:rsid w:val="00AB0551"/>
    <w:rsid w:val="00AB0DE5"/>
    <w:rsid w:val="00AB31AF"/>
    <w:rsid w:val="00AB434A"/>
    <w:rsid w:val="00AB7A8F"/>
    <w:rsid w:val="00AB7EEF"/>
    <w:rsid w:val="00AC0320"/>
    <w:rsid w:val="00AC0AEF"/>
    <w:rsid w:val="00AC49FC"/>
    <w:rsid w:val="00AC5F73"/>
    <w:rsid w:val="00AD1F41"/>
    <w:rsid w:val="00AD23DF"/>
    <w:rsid w:val="00AD3E70"/>
    <w:rsid w:val="00AD3F43"/>
    <w:rsid w:val="00AD6C35"/>
    <w:rsid w:val="00AE10CA"/>
    <w:rsid w:val="00AE2104"/>
    <w:rsid w:val="00AE2CC4"/>
    <w:rsid w:val="00AF0E6A"/>
    <w:rsid w:val="00AF1153"/>
    <w:rsid w:val="00AF20FF"/>
    <w:rsid w:val="00AF2254"/>
    <w:rsid w:val="00AF29A1"/>
    <w:rsid w:val="00AF421D"/>
    <w:rsid w:val="00AF53EF"/>
    <w:rsid w:val="00AF5EC4"/>
    <w:rsid w:val="00B05D9E"/>
    <w:rsid w:val="00B07955"/>
    <w:rsid w:val="00B11611"/>
    <w:rsid w:val="00B11FF9"/>
    <w:rsid w:val="00B133CF"/>
    <w:rsid w:val="00B13425"/>
    <w:rsid w:val="00B13CBF"/>
    <w:rsid w:val="00B1416A"/>
    <w:rsid w:val="00B14297"/>
    <w:rsid w:val="00B17F08"/>
    <w:rsid w:val="00B219A3"/>
    <w:rsid w:val="00B222E1"/>
    <w:rsid w:val="00B23998"/>
    <w:rsid w:val="00B24512"/>
    <w:rsid w:val="00B258DC"/>
    <w:rsid w:val="00B263B2"/>
    <w:rsid w:val="00B26519"/>
    <w:rsid w:val="00B2715F"/>
    <w:rsid w:val="00B30404"/>
    <w:rsid w:val="00B30C86"/>
    <w:rsid w:val="00B3182C"/>
    <w:rsid w:val="00B31889"/>
    <w:rsid w:val="00B3599D"/>
    <w:rsid w:val="00B365F9"/>
    <w:rsid w:val="00B36A3D"/>
    <w:rsid w:val="00B409B2"/>
    <w:rsid w:val="00B416AD"/>
    <w:rsid w:val="00B41837"/>
    <w:rsid w:val="00B42335"/>
    <w:rsid w:val="00B42B71"/>
    <w:rsid w:val="00B438A1"/>
    <w:rsid w:val="00B43D66"/>
    <w:rsid w:val="00B44FEB"/>
    <w:rsid w:val="00B47D84"/>
    <w:rsid w:val="00B54AA7"/>
    <w:rsid w:val="00B564A9"/>
    <w:rsid w:val="00B610F3"/>
    <w:rsid w:val="00B61A0F"/>
    <w:rsid w:val="00B61CC6"/>
    <w:rsid w:val="00B63545"/>
    <w:rsid w:val="00B6479A"/>
    <w:rsid w:val="00B65F92"/>
    <w:rsid w:val="00B70B45"/>
    <w:rsid w:val="00B7123C"/>
    <w:rsid w:val="00B7329A"/>
    <w:rsid w:val="00B7468B"/>
    <w:rsid w:val="00B755BE"/>
    <w:rsid w:val="00B76E3D"/>
    <w:rsid w:val="00B77B08"/>
    <w:rsid w:val="00B81DAC"/>
    <w:rsid w:val="00B843B8"/>
    <w:rsid w:val="00B85409"/>
    <w:rsid w:val="00B85597"/>
    <w:rsid w:val="00B86235"/>
    <w:rsid w:val="00B86321"/>
    <w:rsid w:val="00B86501"/>
    <w:rsid w:val="00B879AA"/>
    <w:rsid w:val="00B9214F"/>
    <w:rsid w:val="00B94455"/>
    <w:rsid w:val="00B948D6"/>
    <w:rsid w:val="00B94979"/>
    <w:rsid w:val="00B94F90"/>
    <w:rsid w:val="00B979CC"/>
    <w:rsid w:val="00BA1CD5"/>
    <w:rsid w:val="00BA2C36"/>
    <w:rsid w:val="00BA381B"/>
    <w:rsid w:val="00BB16DA"/>
    <w:rsid w:val="00BB21AF"/>
    <w:rsid w:val="00BB2F30"/>
    <w:rsid w:val="00BB391E"/>
    <w:rsid w:val="00BB54FB"/>
    <w:rsid w:val="00BB5898"/>
    <w:rsid w:val="00BB637F"/>
    <w:rsid w:val="00BB7435"/>
    <w:rsid w:val="00BB750E"/>
    <w:rsid w:val="00BC02E2"/>
    <w:rsid w:val="00BC1053"/>
    <w:rsid w:val="00BC1CE8"/>
    <w:rsid w:val="00BC1D02"/>
    <w:rsid w:val="00BC24F5"/>
    <w:rsid w:val="00BC609D"/>
    <w:rsid w:val="00BD08B2"/>
    <w:rsid w:val="00BD1159"/>
    <w:rsid w:val="00BD3C90"/>
    <w:rsid w:val="00BD50A2"/>
    <w:rsid w:val="00BD5B4D"/>
    <w:rsid w:val="00BD753B"/>
    <w:rsid w:val="00BD7CA6"/>
    <w:rsid w:val="00BE004B"/>
    <w:rsid w:val="00BE0519"/>
    <w:rsid w:val="00BE0E14"/>
    <w:rsid w:val="00BE19A1"/>
    <w:rsid w:val="00BE2ED4"/>
    <w:rsid w:val="00BE4451"/>
    <w:rsid w:val="00BE78B0"/>
    <w:rsid w:val="00BF08B9"/>
    <w:rsid w:val="00BF109A"/>
    <w:rsid w:val="00BF1304"/>
    <w:rsid w:val="00BF3A2F"/>
    <w:rsid w:val="00BF3FA0"/>
    <w:rsid w:val="00BF4C72"/>
    <w:rsid w:val="00BF54F0"/>
    <w:rsid w:val="00C008D1"/>
    <w:rsid w:val="00C01256"/>
    <w:rsid w:val="00C01B27"/>
    <w:rsid w:val="00C0362B"/>
    <w:rsid w:val="00C03D57"/>
    <w:rsid w:val="00C0456B"/>
    <w:rsid w:val="00C047C6"/>
    <w:rsid w:val="00C04CFB"/>
    <w:rsid w:val="00C04D0F"/>
    <w:rsid w:val="00C0539F"/>
    <w:rsid w:val="00C06535"/>
    <w:rsid w:val="00C0711C"/>
    <w:rsid w:val="00C1286A"/>
    <w:rsid w:val="00C17810"/>
    <w:rsid w:val="00C20D75"/>
    <w:rsid w:val="00C20F86"/>
    <w:rsid w:val="00C221ED"/>
    <w:rsid w:val="00C23D2A"/>
    <w:rsid w:val="00C2446A"/>
    <w:rsid w:val="00C24892"/>
    <w:rsid w:val="00C25584"/>
    <w:rsid w:val="00C2561C"/>
    <w:rsid w:val="00C268FF"/>
    <w:rsid w:val="00C34AD8"/>
    <w:rsid w:val="00C36176"/>
    <w:rsid w:val="00C36D38"/>
    <w:rsid w:val="00C3709B"/>
    <w:rsid w:val="00C379D3"/>
    <w:rsid w:val="00C40358"/>
    <w:rsid w:val="00C403EB"/>
    <w:rsid w:val="00C41EAC"/>
    <w:rsid w:val="00C43861"/>
    <w:rsid w:val="00C44423"/>
    <w:rsid w:val="00C44609"/>
    <w:rsid w:val="00C455C5"/>
    <w:rsid w:val="00C529EB"/>
    <w:rsid w:val="00C53D69"/>
    <w:rsid w:val="00C559C4"/>
    <w:rsid w:val="00C56F0D"/>
    <w:rsid w:val="00C57452"/>
    <w:rsid w:val="00C62393"/>
    <w:rsid w:val="00C62AF6"/>
    <w:rsid w:val="00C6312B"/>
    <w:rsid w:val="00C639DF"/>
    <w:rsid w:val="00C649ED"/>
    <w:rsid w:val="00C70051"/>
    <w:rsid w:val="00C706CD"/>
    <w:rsid w:val="00C7249A"/>
    <w:rsid w:val="00C76672"/>
    <w:rsid w:val="00C76B52"/>
    <w:rsid w:val="00C774E0"/>
    <w:rsid w:val="00C779EC"/>
    <w:rsid w:val="00C81B80"/>
    <w:rsid w:val="00C81EBD"/>
    <w:rsid w:val="00C8285E"/>
    <w:rsid w:val="00C83C37"/>
    <w:rsid w:val="00C83DD9"/>
    <w:rsid w:val="00C8513A"/>
    <w:rsid w:val="00C85963"/>
    <w:rsid w:val="00C87087"/>
    <w:rsid w:val="00C876A3"/>
    <w:rsid w:val="00C87E7A"/>
    <w:rsid w:val="00C90DE3"/>
    <w:rsid w:val="00C97372"/>
    <w:rsid w:val="00C9745F"/>
    <w:rsid w:val="00C97DD3"/>
    <w:rsid w:val="00CA3635"/>
    <w:rsid w:val="00CA4367"/>
    <w:rsid w:val="00CA6208"/>
    <w:rsid w:val="00CA7849"/>
    <w:rsid w:val="00CB3448"/>
    <w:rsid w:val="00CB3FAD"/>
    <w:rsid w:val="00CB48C2"/>
    <w:rsid w:val="00CB7BDA"/>
    <w:rsid w:val="00CC056A"/>
    <w:rsid w:val="00CC0B39"/>
    <w:rsid w:val="00CC114E"/>
    <w:rsid w:val="00CC398F"/>
    <w:rsid w:val="00CC5BD4"/>
    <w:rsid w:val="00CD0895"/>
    <w:rsid w:val="00CD10C4"/>
    <w:rsid w:val="00CD1159"/>
    <w:rsid w:val="00CD1AA0"/>
    <w:rsid w:val="00CD4149"/>
    <w:rsid w:val="00CD59C1"/>
    <w:rsid w:val="00CD5AF9"/>
    <w:rsid w:val="00CE0A6A"/>
    <w:rsid w:val="00CE18A2"/>
    <w:rsid w:val="00CE1C35"/>
    <w:rsid w:val="00CE6624"/>
    <w:rsid w:val="00CE6B55"/>
    <w:rsid w:val="00CE6DF6"/>
    <w:rsid w:val="00CF0262"/>
    <w:rsid w:val="00CF05F5"/>
    <w:rsid w:val="00CF0A0B"/>
    <w:rsid w:val="00CF7F0E"/>
    <w:rsid w:val="00D01D1F"/>
    <w:rsid w:val="00D02315"/>
    <w:rsid w:val="00D06198"/>
    <w:rsid w:val="00D078A8"/>
    <w:rsid w:val="00D07FCF"/>
    <w:rsid w:val="00D135CC"/>
    <w:rsid w:val="00D15E81"/>
    <w:rsid w:val="00D16DA8"/>
    <w:rsid w:val="00D173CD"/>
    <w:rsid w:val="00D17401"/>
    <w:rsid w:val="00D20CD5"/>
    <w:rsid w:val="00D23EC0"/>
    <w:rsid w:val="00D26367"/>
    <w:rsid w:val="00D2690C"/>
    <w:rsid w:val="00D2724B"/>
    <w:rsid w:val="00D27685"/>
    <w:rsid w:val="00D325BA"/>
    <w:rsid w:val="00D32631"/>
    <w:rsid w:val="00D32B33"/>
    <w:rsid w:val="00D34544"/>
    <w:rsid w:val="00D34E84"/>
    <w:rsid w:val="00D352F0"/>
    <w:rsid w:val="00D377F3"/>
    <w:rsid w:val="00D378A5"/>
    <w:rsid w:val="00D37AB5"/>
    <w:rsid w:val="00D37C7F"/>
    <w:rsid w:val="00D4288F"/>
    <w:rsid w:val="00D446D6"/>
    <w:rsid w:val="00D546A7"/>
    <w:rsid w:val="00D55342"/>
    <w:rsid w:val="00D55A9E"/>
    <w:rsid w:val="00D5662E"/>
    <w:rsid w:val="00D574DC"/>
    <w:rsid w:val="00D57D36"/>
    <w:rsid w:val="00D60228"/>
    <w:rsid w:val="00D604C2"/>
    <w:rsid w:val="00D61D2D"/>
    <w:rsid w:val="00D6535C"/>
    <w:rsid w:val="00D7028D"/>
    <w:rsid w:val="00D74EF9"/>
    <w:rsid w:val="00D768DA"/>
    <w:rsid w:val="00D809E2"/>
    <w:rsid w:val="00D80A3E"/>
    <w:rsid w:val="00D80B55"/>
    <w:rsid w:val="00D82C84"/>
    <w:rsid w:val="00D844B2"/>
    <w:rsid w:val="00D85538"/>
    <w:rsid w:val="00D85B30"/>
    <w:rsid w:val="00D869F2"/>
    <w:rsid w:val="00D90144"/>
    <w:rsid w:val="00D92487"/>
    <w:rsid w:val="00D9483F"/>
    <w:rsid w:val="00D956C0"/>
    <w:rsid w:val="00DA0354"/>
    <w:rsid w:val="00DA050A"/>
    <w:rsid w:val="00DA091A"/>
    <w:rsid w:val="00DA1BC7"/>
    <w:rsid w:val="00DA455A"/>
    <w:rsid w:val="00DB09A3"/>
    <w:rsid w:val="00DB4C2F"/>
    <w:rsid w:val="00DB4E6E"/>
    <w:rsid w:val="00DC0718"/>
    <w:rsid w:val="00DC2337"/>
    <w:rsid w:val="00DC3ED7"/>
    <w:rsid w:val="00DC4969"/>
    <w:rsid w:val="00DC5692"/>
    <w:rsid w:val="00DC65AF"/>
    <w:rsid w:val="00DC6CAB"/>
    <w:rsid w:val="00DC70A2"/>
    <w:rsid w:val="00DD1E52"/>
    <w:rsid w:val="00DD3206"/>
    <w:rsid w:val="00DE060D"/>
    <w:rsid w:val="00DE089F"/>
    <w:rsid w:val="00DE2B2A"/>
    <w:rsid w:val="00DE44D3"/>
    <w:rsid w:val="00DE51A9"/>
    <w:rsid w:val="00DF57C9"/>
    <w:rsid w:val="00DF709E"/>
    <w:rsid w:val="00DF74F9"/>
    <w:rsid w:val="00E01874"/>
    <w:rsid w:val="00E02BF7"/>
    <w:rsid w:val="00E0586E"/>
    <w:rsid w:val="00E1491B"/>
    <w:rsid w:val="00E14F3E"/>
    <w:rsid w:val="00E14FBF"/>
    <w:rsid w:val="00E163A4"/>
    <w:rsid w:val="00E17FAA"/>
    <w:rsid w:val="00E21E60"/>
    <w:rsid w:val="00E225D6"/>
    <w:rsid w:val="00E22D02"/>
    <w:rsid w:val="00E231E9"/>
    <w:rsid w:val="00E247CB"/>
    <w:rsid w:val="00E24EA9"/>
    <w:rsid w:val="00E25511"/>
    <w:rsid w:val="00E26B2D"/>
    <w:rsid w:val="00E30AAC"/>
    <w:rsid w:val="00E32DF9"/>
    <w:rsid w:val="00E34285"/>
    <w:rsid w:val="00E373A1"/>
    <w:rsid w:val="00E41163"/>
    <w:rsid w:val="00E43595"/>
    <w:rsid w:val="00E44443"/>
    <w:rsid w:val="00E45242"/>
    <w:rsid w:val="00E47893"/>
    <w:rsid w:val="00E50AAE"/>
    <w:rsid w:val="00E51AE5"/>
    <w:rsid w:val="00E51C02"/>
    <w:rsid w:val="00E52162"/>
    <w:rsid w:val="00E52CD4"/>
    <w:rsid w:val="00E53B53"/>
    <w:rsid w:val="00E53E9B"/>
    <w:rsid w:val="00E55F64"/>
    <w:rsid w:val="00E56040"/>
    <w:rsid w:val="00E5612D"/>
    <w:rsid w:val="00E57739"/>
    <w:rsid w:val="00E60638"/>
    <w:rsid w:val="00E61784"/>
    <w:rsid w:val="00E640C5"/>
    <w:rsid w:val="00E64453"/>
    <w:rsid w:val="00E65D14"/>
    <w:rsid w:val="00E667F3"/>
    <w:rsid w:val="00E67235"/>
    <w:rsid w:val="00E70E12"/>
    <w:rsid w:val="00E7474E"/>
    <w:rsid w:val="00E75B2E"/>
    <w:rsid w:val="00E76BA2"/>
    <w:rsid w:val="00E804E1"/>
    <w:rsid w:val="00E80A2B"/>
    <w:rsid w:val="00E81153"/>
    <w:rsid w:val="00E82481"/>
    <w:rsid w:val="00E845F2"/>
    <w:rsid w:val="00E848EE"/>
    <w:rsid w:val="00E84DC2"/>
    <w:rsid w:val="00E86D18"/>
    <w:rsid w:val="00E91253"/>
    <w:rsid w:val="00E9438D"/>
    <w:rsid w:val="00EA009D"/>
    <w:rsid w:val="00EA1AFD"/>
    <w:rsid w:val="00EA2170"/>
    <w:rsid w:val="00EA2779"/>
    <w:rsid w:val="00EA3B5B"/>
    <w:rsid w:val="00EA4788"/>
    <w:rsid w:val="00EA5555"/>
    <w:rsid w:val="00EA5A2C"/>
    <w:rsid w:val="00EA5E46"/>
    <w:rsid w:val="00EA60E5"/>
    <w:rsid w:val="00EA6D97"/>
    <w:rsid w:val="00EA712C"/>
    <w:rsid w:val="00EA7233"/>
    <w:rsid w:val="00EA7902"/>
    <w:rsid w:val="00EB0E4F"/>
    <w:rsid w:val="00EB0F89"/>
    <w:rsid w:val="00EB164C"/>
    <w:rsid w:val="00EB3EAB"/>
    <w:rsid w:val="00EB4671"/>
    <w:rsid w:val="00EB4945"/>
    <w:rsid w:val="00EB4BF7"/>
    <w:rsid w:val="00EB6284"/>
    <w:rsid w:val="00EC41BB"/>
    <w:rsid w:val="00EC5418"/>
    <w:rsid w:val="00EC5932"/>
    <w:rsid w:val="00ED2154"/>
    <w:rsid w:val="00ED2CC1"/>
    <w:rsid w:val="00ED2E69"/>
    <w:rsid w:val="00ED34A2"/>
    <w:rsid w:val="00ED4894"/>
    <w:rsid w:val="00ED5264"/>
    <w:rsid w:val="00ED6545"/>
    <w:rsid w:val="00ED7503"/>
    <w:rsid w:val="00ED7CA8"/>
    <w:rsid w:val="00EE08F4"/>
    <w:rsid w:val="00EE2675"/>
    <w:rsid w:val="00EE2AAA"/>
    <w:rsid w:val="00EE4029"/>
    <w:rsid w:val="00EE4047"/>
    <w:rsid w:val="00EE4384"/>
    <w:rsid w:val="00EE463E"/>
    <w:rsid w:val="00EE4CD4"/>
    <w:rsid w:val="00EE5E3C"/>
    <w:rsid w:val="00EE77E5"/>
    <w:rsid w:val="00EF100C"/>
    <w:rsid w:val="00EF416A"/>
    <w:rsid w:val="00EF51DD"/>
    <w:rsid w:val="00EF716C"/>
    <w:rsid w:val="00F00E52"/>
    <w:rsid w:val="00F020DB"/>
    <w:rsid w:val="00F03CD7"/>
    <w:rsid w:val="00F06588"/>
    <w:rsid w:val="00F07852"/>
    <w:rsid w:val="00F1015F"/>
    <w:rsid w:val="00F1037B"/>
    <w:rsid w:val="00F10722"/>
    <w:rsid w:val="00F11EB7"/>
    <w:rsid w:val="00F14757"/>
    <w:rsid w:val="00F154EB"/>
    <w:rsid w:val="00F15773"/>
    <w:rsid w:val="00F15861"/>
    <w:rsid w:val="00F1650D"/>
    <w:rsid w:val="00F20351"/>
    <w:rsid w:val="00F2094C"/>
    <w:rsid w:val="00F20CD5"/>
    <w:rsid w:val="00F21636"/>
    <w:rsid w:val="00F219E0"/>
    <w:rsid w:val="00F21BDC"/>
    <w:rsid w:val="00F21FA8"/>
    <w:rsid w:val="00F22225"/>
    <w:rsid w:val="00F26237"/>
    <w:rsid w:val="00F268BC"/>
    <w:rsid w:val="00F304C3"/>
    <w:rsid w:val="00F314BD"/>
    <w:rsid w:val="00F326A1"/>
    <w:rsid w:val="00F332D8"/>
    <w:rsid w:val="00F377A5"/>
    <w:rsid w:val="00F40009"/>
    <w:rsid w:val="00F411B6"/>
    <w:rsid w:val="00F41246"/>
    <w:rsid w:val="00F43043"/>
    <w:rsid w:val="00F43FF6"/>
    <w:rsid w:val="00F44485"/>
    <w:rsid w:val="00F46DF0"/>
    <w:rsid w:val="00F47C43"/>
    <w:rsid w:val="00F50E9E"/>
    <w:rsid w:val="00F51F44"/>
    <w:rsid w:val="00F5215C"/>
    <w:rsid w:val="00F53DEC"/>
    <w:rsid w:val="00F562BD"/>
    <w:rsid w:val="00F567EF"/>
    <w:rsid w:val="00F571B1"/>
    <w:rsid w:val="00F603C5"/>
    <w:rsid w:val="00F6231E"/>
    <w:rsid w:val="00F6301A"/>
    <w:rsid w:val="00F715DE"/>
    <w:rsid w:val="00F71B64"/>
    <w:rsid w:val="00F7211E"/>
    <w:rsid w:val="00F72B8B"/>
    <w:rsid w:val="00F74578"/>
    <w:rsid w:val="00F74FF4"/>
    <w:rsid w:val="00F758A0"/>
    <w:rsid w:val="00F7634C"/>
    <w:rsid w:val="00F76AE8"/>
    <w:rsid w:val="00F77728"/>
    <w:rsid w:val="00F8589F"/>
    <w:rsid w:val="00F859A7"/>
    <w:rsid w:val="00F85FF1"/>
    <w:rsid w:val="00F8649E"/>
    <w:rsid w:val="00F86CF6"/>
    <w:rsid w:val="00F87898"/>
    <w:rsid w:val="00F90527"/>
    <w:rsid w:val="00F91333"/>
    <w:rsid w:val="00F9305C"/>
    <w:rsid w:val="00F94431"/>
    <w:rsid w:val="00F9553A"/>
    <w:rsid w:val="00F956BF"/>
    <w:rsid w:val="00F95760"/>
    <w:rsid w:val="00F97698"/>
    <w:rsid w:val="00F977E7"/>
    <w:rsid w:val="00FA09A1"/>
    <w:rsid w:val="00FA1B69"/>
    <w:rsid w:val="00FA28C7"/>
    <w:rsid w:val="00FA513F"/>
    <w:rsid w:val="00FA58E0"/>
    <w:rsid w:val="00FA5D0F"/>
    <w:rsid w:val="00FA6E29"/>
    <w:rsid w:val="00FA77C9"/>
    <w:rsid w:val="00FA7960"/>
    <w:rsid w:val="00FB0FDF"/>
    <w:rsid w:val="00FB387F"/>
    <w:rsid w:val="00FB5E0E"/>
    <w:rsid w:val="00FB603A"/>
    <w:rsid w:val="00FB7852"/>
    <w:rsid w:val="00FC09B4"/>
    <w:rsid w:val="00FC2481"/>
    <w:rsid w:val="00FC38CD"/>
    <w:rsid w:val="00FC47F2"/>
    <w:rsid w:val="00FC7347"/>
    <w:rsid w:val="00FD2BB2"/>
    <w:rsid w:val="00FD31B7"/>
    <w:rsid w:val="00FD51F7"/>
    <w:rsid w:val="00FD5E96"/>
    <w:rsid w:val="00FE04DA"/>
    <w:rsid w:val="00FE2172"/>
    <w:rsid w:val="00FE2777"/>
    <w:rsid w:val="00FE3CCD"/>
    <w:rsid w:val="00FE7666"/>
    <w:rsid w:val="00FE78A3"/>
    <w:rsid w:val="00FF0B8F"/>
    <w:rsid w:val="00FF50EE"/>
    <w:rsid w:val="00FF5EF6"/>
    <w:rsid w:val="00FF5F1B"/>
    <w:rsid w:val="00FF63B6"/>
    <w:rsid w:val="00FF712D"/>
    <w:rsid w:val="00FF77EA"/>
    <w:rsid w:val="073D6AE8"/>
    <w:rsid w:val="08B57BAB"/>
    <w:rsid w:val="0B6E7792"/>
    <w:rsid w:val="0BC17C78"/>
    <w:rsid w:val="0DA2683C"/>
    <w:rsid w:val="0DD51794"/>
    <w:rsid w:val="0E3558E2"/>
    <w:rsid w:val="10463913"/>
    <w:rsid w:val="11423BBD"/>
    <w:rsid w:val="131274CE"/>
    <w:rsid w:val="1720707D"/>
    <w:rsid w:val="17D53E03"/>
    <w:rsid w:val="185374EE"/>
    <w:rsid w:val="191D7B8A"/>
    <w:rsid w:val="1A631948"/>
    <w:rsid w:val="1AD50D73"/>
    <w:rsid w:val="1B38737F"/>
    <w:rsid w:val="1DF72B4C"/>
    <w:rsid w:val="1EDA3123"/>
    <w:rsid w:val="21026B76"/>
    <w:rsid w:val="2213611E"/>
    <w:rsid w:val="22F01249"/>
    <w:rsid w:val="2332554E"/>
    <w:rsid w:val="23D9610A"/>
    <w:rsid w:val="24BB15A2"/>
    <w:rsid w:val="270D4739"/>
    <w:rsid w:val="28814A83"/>
    <w:rsid w:val="289F721E"/>
    <w:rsid w:val="291B00A6"/>
    <w:rsid w:val="29B60C6F"/>
    <w:rsid w:val="2A146AD0"/>
    <w:rsid w:val="2A1C2BF7"/>
    <w:rsid w:val="2A8A372E"/>
    <w:rsid w:val="2CDD5B84"/>
    <w:rsid w:val="300B0A61"/>
    <w:rsid w:val="32FD230D"/>
    <w:rsid w:val="33680A14"/>
    <w:rsid w:val="33A92885"/>
    <w:rsid w:val="34443AB5"/>
    <w:rsid w:val="34877D66"/>
    <w:rsid w:val="34FF745B"/>
    <w:rsid w:val="36277128"/>
    <w:rsid w:val="36D44CD2"/>
    <w:rsid w:val="370D6431"/>
    <w:rsid w:val="378620B5"/>
    <w:rsid w:val="3D1B66CA"/>
    <w:rsid w:val="3D281AEE"/>
    <w:rsid w:val="3FEA709F"/>
    <w:rsid w:val="4125649B"/>
    <w:rsid w:val="426F7099"/>
    <w:rsid w:val="434509CF"/>
    <w:rsid w:val="45F97EF6"/>
    <w:rsid w:val="464F4558"/>
    <w:rsid w:val="47565513"/>
    <w:rsid w:val="482F19AD"/>
    <w:rsid w:val="4967220C"/>
    <w:rsid w:val="4BC6336A"/>
    <w:rsid w:val="4DE516D8"/>
    <w:rsid w:val="4E6708E9"/>
    <w:rsid w:val="4EBE4F33"/>
    <w:rsid w:val="4FD77C0B"/>
    <w:rsid w:val="505B5E19"/>
    <w:rsid w:val="50A40695"/>
    <w:rsid w:val="50BF39BB"/>
    <w:rsid w:val="52E86D0B"/>
    <w:rsid w:val="53017AF7"/>
    <w:rsid w:val="541D4416"/>
    <w:rsid w:val="546D4478"/>
    <w:rsid w:val="565C45F6"/>
    <w:rsid w:val="56645A39"/>
    <w:rsid w:val="5A0424DA"/>
    <w:rsid w:val="5C1E63DB"/>
    <w:rsid w:val="5D521F6E"/>
    <w:rsid w:val="5D871634"/>
    <w:rsid w:val="5DE75582"/>
    <w:rsid w:val="5EA26F25"/>
    <w:rsid w:val="5ECD08E7"/>
    <w:rsid w:val="5FD63234"/>
    <w:rsid w:val="62E23D94"/>
    <w:rsid w:val="62EF4CFD"/>
    <w:rsid w:val="64D56443"/>
    <w:rsid w:val="65872532"/>
    <w:rsid w:val="6601121B"/>
    <w:rsid w:val="6648053E"/>
    <w:rsid w:val="67BD64C0"/>
    <w:rsid w:val="67C728FD"/>
    <w:rsid w:val="692575CB"/>
    <w:rsid w:val="6C3F53DB"/>
    <w:rsid w:val="6E1703AC"/>
    <w:rsid w:val="6E487158"/>
    <w:rsid w:val="70D83112"/>
    <w:rsid w:val="71BB46C9"/>
    <w:rsid w:val="71D757DA"/>
    <w:rsid w:val="7231305C"/>
    <w:rsid w:val="724B38C0"/>
    <w:rsid w:val="73081E35"/>
    <w:rsid w:val="73D3007B"/>
    <w:rsid w:val="74A013B9"/>
    <w:rsid w:val="74FB17FB"/>
    <w:rsid w:val="76446CBC"/>
    <w:rsid w:val="76462FC7"/>
    <w:rsid w:val="76C22131"/>
    <w:rsid w:val="77862AE9"/>
    <w:rsid w:val="781A460E"/>
    <w:rsid w:val="79B10ED9"/>
    <w:rsid w:val="79CF0D31"/>
    <w:rsid w:val="7AFF53FF"/>
    <w:rsid w:val="7BF00E78"/>
    <w:rsid w:val="7C3C5105"/>
    <w:rsid w:val="7E4E1A36"/>
    <w:rsid w:val="7EEC3BA6"/>
    <w:rsid w:val="7F60456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iPriority="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qFormat/>
    <w:uiPriority w:val="0"/>
    <w:pPr>
      <w:keepNext/>
      <w:spacing w:before="240" w:after="60"/>
      <w:outlineLvl w:val="0"/>
    </w:pPr>
    <w:rPr>
      <w:rFonts w:ascii="Cambria" w:hAnsi="Cambria"/>
      <w:b/>
      <w:bCs/>
      <w:kern w:val="32"/>
      <w:sz w:val="32"/>
      <w:szCs w:val="32"/>
    </w:rPr>
  </w:style>
  <w:style w:type="paragraph" w:styleId="4">
    <w:name w:val="heading 3"/>
    <w:basedOn w:val="1"/>
    <w:next w:val="1"/>
    <w:qFormat/>
    <w:uiPriority w:val="9"/>
    <w:pPr>
      <w:keepNext/>
      <w:keepLines/>
      <w:spacing w:before="50" w:beforeLines="50" w:after="50" w:afterLines="50"/>
      <w:jc w:val="center"/>
      <w:outlineLvl w:val="2"/>
    </w:pPr>
    <w:rPr>
      <w:b/>
      <w:bCs/>
      <w:sz w:val="32"/>
      <w:szCs w:val="32"/>
      <w:lang w:val="zh-CN"/>
    </w:rPr>
  </w:style>
  <w:style w:type="character" w:default="1" w:styleId="14">
    <w:name w:val="Default Paragraph Font"/>
    <w:semiHidden/>
    <w:unhideWhenUsed/>
    <w:uiPriority w:val="1"/>
  </w:style>
  <w:style w:type="table" w:default="1" w:styleId="13">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spacing w:before="102"/>
      <w:ind w:left="112"/>
    </w:pPr>
    <w:rPr>
      <w:sz w:val="28"/>
      <w:szCs w:val="28"/>
    </w:rPr>
  </w:style>
  <w:style w:type="paragraph" w:styleId="5">
    <w:name w:val="Normal Indent"/>
    <w:basedOn w:val="1"/>
    <w:unhideWhenUsed/>
    <w:qFormat/>
    <w:uiPriority w:val="99"/>
    <w:pPr>
      <w:widowControl/>
      <w:spacing w:line="590" w:lineRule="atLeast"/>
      <w:ind w:firstLine="420" w:firstLineChars="200"/>
    </w:pPr>
    <w:rPr>
      <w:rFonts w:ascii="Calibri" w:hAnsi="Calibri" w:cs="Calibri"/>
      <w:szCs w:val="21"/>
    </w:rPr>
  </w:style>
  <w:style w:type="paragraph" w:styleId="6">
    <w:name w:val="annotation text"/>
    <w:basedOn w:val="1"/>
    <w:link w:val="25"/>
    <w:qFormat/>
    <w:uiPriority w:val="0"/>
    <w:pPr>
      <w:jc w:val="left"/>
    </w:pPr>
  </w:style>
  <w:style w:type="paragraph" w:styleId="7">
    <w:name w:val="Date"/>
    <w:basedOn w:val="1"/>
    <w:next w:val="1"/>
    <w:qFormat/>
    <w:uiPriority w:val="0"/>
    <w:rPr>
      <w:rFonts w:ascii="黑体" w:eastAsia="黑体"/>
      <w:b/>
      <w:sz w:val="24"/>
      <w:szCs w:val="20"/>
    </w:rPr>
  </w:style>
  <w:style w:type="paragraph" w:styleId="8">
    <w:name w:val="Balloon Text"/>
    <w:basedOn w:val="1"/>
    <w:semiHidden/>
    <w:qFormat/>
    <w:uiPriority w:val="0"/>
    <w:rPr>
      <w:sz w:val="18"/>
      <w:szCs w:val="18"/>
    </w:rPr>
  </w:style>
  <w:style w:type="paragraph" w:styleId="9">
    <w:name w:val="footer"/>
    <w:basedOn w:val="1"/>
    <w:link w:val="29"/>
    <w:qFormat/>
    <w:uiPriority w:val="99"/>
    <w:pPr>
      <w:tabs>
        <w:tab w:val="center" w:pos="4153"/>
        <w:tab w:val="right" w:pos="8306"/>
      </w:tabs>
      <w:snapToGrid w:val="0"/>
      <w:jc w:val="left"/>
    </w:pPr>
    <w:rPr>
      <w:sz w:val="18"/>
      <w:szCs w:val="18"/>
    </w:rPr>
  </w:style>
  <w:style w:type="paragraph" w:styleId="10">
    <w:name w:val="header"/>
    <w:basedOn w:val="1"/>
    <w:qFormat/>
    <w:uiPriority w:val="0"/>
    <w:pPr>
      <w:tabs>
        <w:tab w:val="center" w:pos="4320"/>
        <w:tab w:val="right" w:pos="8640"/>
      </w:tabs>
    </w:pPr>
  </w:style>
  <w:style w:type="paragraph" w:styleId="11">
    <w:name w:val="Normal (Web)"/>
    <w:basedOn w:val="1"/>
    <w:qFormat/>
    <w:uiPriority w:val="0"/>
    <w:pPr>
      <w:widowControl/>
      <w:spacing w:before="144" w:after="144" w:line="432" w:lineRule="atLeast"/>
      <w:ind w:left="192" w:right="192" w:firstLine="480"/>
    </w:pPr>
    <w:rPr>
      <w:rFonts w:ascii="宋体" w:hAnsi="宋体" w:cs="宋体"/>
      <w:kern w:val="0"/>
      <w:sz w:val="24"/>
    </w:rPr>
  </w:style>
  <w:style w:type="paragraph" w:styleId="12">
    <w:name w:val="annotation subject"/>
    <w:basedOn w:val="6"/>
    <w:next w:val="6"/>
    <w:link w:val="26"/>
    <w:qFormat/>
    <w:uiPriority w:val="0"/>
    <w:rPr>
      <w:b/>
      <w:bCs/>
    </w:rPr>
  </w:style>
  <w:style w:type="character" w:styleId="15">
    <w:name w:val="Strong"/>
    <w:basedOn w:val="14"/>
    <w:qFormat/>
    <w:uiPriority w:val="22"/>
    <w:rPr>
      <w:b/>
      <w:bCs/>
    </w:rPr>
  </w:style>
  <w:style w:type="character" w:styleId="16">
    <w:name w:val="page number"/>
    <w:basedOn w:val="14"/>
    <w:qFormat/>
    <w:uiPriority w:val="0"/>
  </w:style>
  <w:style w:type="character" w:styleId="17">
    <w:name w:val="Hyperlink"/>
    <w:qFormat/>
    <w:uiPriority w:val="0"/>
    <w:rPr>
      <w:color w:val="0000FF"/>
      <w:u w:val="single"/>
    </w:rPr>
  </w:style>
  <w:style w:type="character" w:styleId="18">
    <w:name w:val="annotation reference"/>
    <w:qFormat/>
    <w:uiPriority w:val="0"/>
    <w:rPr>
      <w:sz w:val="21"/>
      <w:szCs w:val="21"/>
    </w:rPr>
  </w:style>
  <w:style w:type="paragraph" w:customStyle="1" w:styleId="19">
    <w:name w:val="Char Char1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2">
    <w:name w:val="Default"/>
    <w:qFormat/>
    <w:uiPriority w:val="0"/>
    <w:pPr>
      <w:autoSpaceDE w:val="0"/>
      <w:autoSpaceDN w:val="0"/>
      <w:adjustRightInd w:val="0"/>
    </w:pPr>
    <w:rPr>
      <w:rFonts w:ascii="Times New Roman" w:hAnsi="Times New Roman" w:eastAsia="宋体" w:cs="Times New Roman"/>
      <w:color w:val="000000"/>
      <w:sz w:val="24"/>
      <w:szCs w:val="24"/>
      <w:lang w:val="en-GB" w:eastAsia="zh-CN" w:bidi="ar-SA"/>
    </w:rPr>
  </w:style>
  <w:style w:type="paragraph" w:customStyle="1" w:styleId="23">
    <w:name w:val="Char Char Char Char Char Char Char Char Char Char Char Char Char Char Char Char Char Char Char Char Char Char Char Char Char Char 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4">
    <w:name w:val="Char"/>
    <w:basedOn w:val="1"/>
    <w:qFormat/>
    <w:uiPriority w:val="0"/>
  </w:style>
  <w:style w:type="character" w:customStyle="1" w:styleId="25">
    <w:name w:val="批注文字 Char"/>
    <w:link w:val="6"/>
    <w:qFormat/>
    <w:uiPriority w:val="0"/>
    <w:rPr>
      <w:kern w:val="2"/>
      <w:sz w:val="21"/>
      <w:szCs w:val="24"/>
    </w:rPr>
  </w:style>
  <w:style w:type="character" w:customStyle="1" w:styleId="26">
    <w:name w:val="批注主题 Char"/>
    <w:link w:val="12"/>
    <w:qFormat/>
    <w:uiPriority w:val="0"/>
    <w:rPr>
      <w:b/>
      <w:bCs/>
      <w:kern w:val="2"/>
      <w:sz w:val="21"/>
      <w:szCs w:val="24"/>
    </w:rPr>
  </w:style>
  <w:style w:type="paragraph" w:styleId="27">
    <w:name w:val="List Paragraph"/>
    <w:basedOn w:val="1"/>
    <w:qFormat/>
    <w:uiPriority w:val="99"/>
    <w:pPr>
      <w:ind w:firstLine="420" w:firstLineChars="200"/>
    </w:pPr>
  </w:style>
  <w:style w:type="character" w:customStyle="1" w:styleId="28">
    <w:name w:val="标题 1 Char"/>
    <w:link w:val="3"/>
    <w:qFormat/>
    <w:uiPriority w:val="0"/>
    <w:rPr>
      <w:rFonts w:ascii="Cambria" w:hAnsi="Cambria" w:eastAsia="宋体" w:cs="Times New Roman"/>
      <w:b/>
      <w:bCs/>
      <w:kern w:val="32"/>
      <w:sz w:val="32"/>
      <w:szCs w:val="32"/>
      <w:lang w:val="en-US"/>
    </w:rPr>
  </w:style>
  <w:style w:type="character" w:customStyle="1" w:styleId="29">
    <w:name w:val="页脚 Char"/>
    <w:basedOn w:val="14"/>
    <w:link w:val="9"/>
    <w:qFormat/>
    <w:uiPriority w:val="99"/>
    <w:rPr>
      <w:kern w:val="2"/>
      <w:sz w:val="18"/>
      <w:szCs w:val="18"/>
    </w:rPr>
  </w:style>
  <w:style w:type="paragraph" w:styleId="3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修订1"/>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80110FF-CB5D-4431-A436-49C840E82543}">
  <ds:schemaRefs/>
</ds:datastoreItem>
</file>

<file path=docProps/app.xml><?xml version="1.0" encoding="utf-8"?>
<Properties xmlns="http://schemas.openxmlformats.org/officeDocument/2006/extended-properties" xmlns:vt="http://schemas.openxmlformats.org/officeDocument/2006/docPropsVTypes">
  <Template>Normal</Template>
  <Pages>6</Pages>
  <Words>589</Words>
  <Characters>3360</Characters>
  <Lines>28</Lines>
  <Paragraphs>7</Paragraphs>
  <TotalTime>30</TotalTime>
  <ScaleCrop>false</ScaleCrop>
  <LinksUpToDate>false</LinksUpToDate>
  <CharactersWithSpaces>3942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2023-10-24T09:33:00Z</dcterms:created>
  <cp:lastPrinted>2023-10-24T09:33:00Z</cp:lastPrinted>
  <dcterms:modified xsi:type="dcterms:W3CDTF">2023-10-27T06:31:20Z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3E876749118D4DDDAC216C828F2FD56D_12</vt:lpwstr>
  </property>
</Properties>
</file>