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股票简称：宁沪高速          股票代码：600377           编号：临2023-036</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二十</w:t>
      </w:r>
      <w:r>
        <w:rPr>
          <w:b/>
          <w:sz w:val="28"/>
          <w:szCs w:val="28"/>
        </w:rPr>
        <w:t>次会议决议</w:t>
      </w:r>
      <w:r>
        <w:rPr>
          <w:b/>
          <w:bCs/>
          <w:sz w:val="28"/>
          <w:szCs w:val="28"/>
        </w:rPr>
        <w:t>公告</w:t>
      </w:r>
    </w:p>
    <w:p>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pPr>
        <w:pStyle w:val="22"/>
        <w:snapToGrid w:val="0"/>
        <w:spacing w:line="360" w:lineRule="auto"/>
      </w:pPr>
    </w:p>
    <w:p>
      <w:pPr>
        <w:pStyle w:val="22"/>
        <w:snapToGrid w:val="0"/>
        <w:spacing w:line="360" w:lineRule="auto"/>
      </w:pPr>
    </w:p>
    <w:p>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（一）江苏宁沪高速公路股份有限公司（以下简称“本公司”）第十届董事会第二十次会议（以下简称“会议”）于2023年8月25日以现场会议及视频会议相结合的方式召开。</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（三）会议应表决董事13人，会议出席董事13人。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pPr>
        <w:pStyle w:val="27"/>
        <w:autoSpaceDE w:val="0"/>
        <w:autoSpaceDN w:val="0"/>
        <w:adjustRightInd w:val="0"/>
        <w:spacing w:line="360" w:lineRule="auto"/>
        <w:ind w:firstLine="480"/>
        <w:jc w:val="left"/>
        <w:rPr>
          <w:rFonts w:cs="宋体" w:asciiTheme="minorEastAsia" w:hAnsiTheme="minorEastAsia" w:eastAsiaTheme="minorEastAsia"/>
          <w:sz w:val="24"/>
        </w:rPr>
      </w:pPr>
    </w:p>
    <w:p>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审议并批准本公司2023年半年度报告及摘要，以中文在中国证券报、证券时报、上海证券报及上海证券交易所网站www.sse.com.cn刊登，以中英文在香港联合交易所有限公司网站www.hkexnews.hk及本公司网站www.jsexpressway.com刊登；并批准印刷本公司2023年半年度报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（二）审议并批准本公司2023年半年度总经理工作报告。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（三）审议并批准《关于指定高级管理人员代行董事会秘书职责的议案》。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同意本公司副总经理陈晋佳女士代行董事会秘书职责，代行期不超过3个月。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（四）审议并批准《关于聘任陈晋佳女士担任本公司财务负责人的议案》。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同意聘任高级管理人员陈晋佳女士担任本公司财务负责人。</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（五）审议并批准《关于就本公司在江苏交通控股集团财务公司开展存贷款金融业务出具风险评估报告的议案》。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此议案获得通过</w:t>
      </w:r>
      <w:r>
        <w:rPr>
          <w:rFonts w:hint="eastAsia" w:asciiTheme="minorEastAsia" w:hAnsiTheme="minorEastAsia" w:eastAsiaTheme="minorEastAsia"/>
          <w:sz w:val="24"/>
        </w:rPr>
        <w:t>。</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（六）审议并批准《关于本公司及控股子公司与南京感动科技有限公司（以下简称“感动科技公司”）的日常关联/关连交易的议案》。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1.同意本公司控股子公司广靖锡澄公司与感动科技公司签署日常关联/关连交易协议，由感动科技公司向广靖锡澄公司提供计费表编制服务，协议期限为2023年9月1日至2023年12月31日，协议金额不超过人民币14.8万元。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意本公司及控股子公司江苏五峰山大桥有限公司（以下简称“五峰山公司”）、江苏镇丹高速公路有限公司（以下简称“镇丹公司”）、江苏广靖锡澄高速公路有限责任公司（以下简称“广靖锡澄公司”）、江苏常宜高速公路有限公司（以下简称“常宜公司”）、江苏宜长高速公路有限公司（以下简称“宜长公司”）分别与感动科技公司签署江苏省高速公路通行费票据电子化改造项目分摊协议，协议期限均为2023年10月1日至2023年12月31日，本公司及控股子公司的协议金额分别为：本公司不超过人民币5.25万元，五峰山公司不超过人民币5.25万元，镇丹公司不超过人民币5.25万元，广靖锡澄公司不超过人民币4.4万元，宜长公司不超过人民币4.4万元，常宜公司不超过人民币4.4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鉴于该关联交易价格是由感动科技公司参与公开招标而形成的公允价格。根据上海证券交易所股票上市规则第6.3.18条规定，可以免于按照关联交易的方式审议和披露。</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（七）审议并批准《关于本公司与招商局重庆交通科研设计院有限公司（以下简称“招商局交通科研”）的日常关联/持续关连交易议案》。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与招商局交通科研签署日常关联/持续关连交易协议，由招商局交通科研为本公司提供高速公路机电运维手册编制服务，协议期限为2023年9月1日至2024年6月30日，其中：2023年9月1日至2023年12月31日协议金额不超过人民币70万元，2024年1月1日至2024年6月30日协议金额不超过人民币17.5万元。并授权执行董事汪锋先生、姚永嘉先生处理相关后续事宜。</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鉴于该关联交易价格是由招商局交通科研参与本公司公开招标而形成的公允价格。根据上海证券交易所股票上市规则第6.3.18条规定，可以免于按照关联交易的方式审议和披露。</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（八）审议并批准《关于本公司及控股子公司与江苏交控数字交通研究院有限公司（以下简称“数研院”）的日常关联/持续关连交易议案》。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同意本公司及控股子公司五峰山公司、镇丹公司、宜长公司分别与数研院签署日常关联/持续关连交易协议，由数研院为本公司及控股子公司服务区加油站提供网络改造服务，协议期限为2023年10月1日至2024年4月30日，协议累计金额不超过人民币18.15万元，其中：本公司累计金额不超过人民币14.07万元（2023年10月1日至12月31日不超过人民币8.15万元，2024年1月1日至4月30日不超过人民币5.92万元）；五峰山公司累计金额不超过人民币1.36万元（2024年1月1日至4月30日）；镇丹公司累计金额不超过人民币1.36万元（2024年1月1日至4月30日）；宜长公司累计金额不超过人民币1.36万元（2024年1月1日至4月30日）。</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2、同意本公司与数研院签署日常关联/持续关连交易协议，由数研院为本公司提供视频会议室网络升级服务</w:t>
      </w:r>
      <w:bookmarkStart w:id="0" w:name="_GoBack"/>
      <w:bookmarkEnd w:id="0"/>
      <w:r>
        <w:rPr>
          <w:rFonts w:hint="eastAsia" w:asciiTheme="minorEastAsia" w:hAnsiTheme="minorEastAsia" w:eastAsiaTheme="minorEastAsia"/>
          <w:sz w:val="24"/>
        </w:rPr>
        <w:t>，协议期限为2023年10月1日至2024年4月30日，协议累计金额不超过人民币2.4万元，其中：2023年10月1日至12月31日不超过人民币1.76万元，2024年1月1日至4月30日不超过人民币0.64万元。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（九）审议并批准《关于本公司及控股子公司与宁沪商业保理（广州）有限公司（以下简称“保理公司”）的关联/持续关连交易议案》。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及控股子公司与保理公司开展保理业务，由保理公司向本公司及其控股子公司提供保理服务，保理期限自2023年9月1日起至2024年4月30日，保理业务金额不超过人民币5000万元，其中：本公司保理业务总金额不超过人民币2,100万元（2023年9月1日至12月31日不超过人民币750万元，2024年1月1日至4月30日不超过人民币1350万元），广靖锡澄公司保理业务总金额不超过人民币200万元（2023年9月1日至12月31日不超过人民币100万元，2024年1月1日至4月30日不超过人民币100万元）、江苏龙潭大桥有限公司保理业务总金额不超过人民币300万元（2023年9月1日至12月31日不超过人民币100万元，2024年1月1日至4月30日不超过人民币200万元）、镇丹公司保理业务总金额不超过人民币200万元（2023年9月1日至12月31日不超过人民币100万元，2024年1月1日至4月30日不超过人民币100万元）、五峰山公司保理业务总金额不超过人民币200万元（2023年9月1日至12月31日不超过人民币100万元，2024年1月1日至4月30日不超过人民币100万元）、江苏宁沪投资发展有限责任公司保理业务总金额不超过人民币200万元（2023年9月1日至12月31日不超过人民币100万元，2024年1月1日至4月30日不超过人民币100万元）、江苏云杉清洁能源投资控股有限公司保理业务总金额不超过人民币800万元（2023年9月1日至12月31日不超过人民币300万元，2024年1月1日至4月30日不超过人民币500万元）、江苏宁沪置业有限责任公司（以下简称“宁沪置业”）保理业务总金额不超过人民币400万元（2023年9月1日至12月31日不超过人民币200万元，2024年1月1日至4月30日不超过人民币200万元）、南京瀚威房地产开发有限公司保理业务总金额不超过人民币500万元（2023年9月1日至12月31日不超过人民币200万元，2024年1月1日至4月30日不超过人民币300万元））、江苏扬子江高速通道管理有限公司保理业务总金额不超过人民币100万元（2023年9月1日至12月31日不超过人民币50万元，2024年1月至4月不超过人民币50万元）；批准关联交易公告内容并授权公司秘书姚永嘉先生于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（十）审议并批准《关于本公司及全资子公司与江苏交控商业运营管理有限公司（以下简称“交控商运公司”）的日常关联/持续关连交易议案 》。</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同意本公司及全资子公司宁沪置业与交控商运签署日常关联/持续关连交易协议。本公司及宁沪置业向交控商运公司追加采购办公用品、办公设备等物资，协议期自2023年9月1日至2024年4月30日，累计交易金额不超过人民币568万元。其中本其中：本公司物资采购交易金额不超过人民币508万元（ 2023年9月1日至2023年12月31日不超过人民币441万元，2024年1月1日至2024年4月30日不超过人民币67万元）；宁沪置业物资采购交易金额不超过人民币60万元（ 2023年9月1日至2023年12月31日不超过人民币50万元，2024年1月1日至2024年4月30日不超过人民币10万元）；批准日常关联/持续关连交易公告内容并授权公司秘书姚永嘉先生于协议签订后予以公告。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意本公司与交控商运公司签署日常关联/持续关连交易协议，由交控商运公司提供保安、保洁、客服、厨师等专业的物业管理服务。本公司就此事项与交控商运公司签署日常关联/持续关连交易协议。协议期限为2023年9月1日至2024年4月30日，交易金额不超过人民币713万元，其中：2023年9月1日至2023年12月31日不超过人民币279万元，2024年1月1日至2024年4月30日不超过人民币434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3、同意本公司与交控商运公司签署</w:t>
      </w:r>
      <w:r>
        <w:rPr>
          <w:rFonts w:hint="eastAsia" w:asciiTheme="minorEastAsia" w:hAnsiTheme="minorEastAsia" w:eastAsiaTheme="minorEastAsia"/>
          <w:sz w:val="24"/>
          <w:highlight w:val="none"/>
        </w:rPr>
        <w:t>日常关联</w:t>
      </w:r>
      <w:r>
        <w:rPr>
          <w:rFonts w:asciiTheme="minorEastAsia" w:hAnsiTheme="minorEastAsia" w:eastAsiaTheme="minorEastAsia"/>
          <w:sz w:val="24"/>
          <w:highlight w:val="none"/>
        </w:rPr>
        <w:t>/持续关连</w:t>
      </w:r>
      <w:r>
        <w:rPr>
          <w:rFonts w:hint="eastAsia" w:asciiTheme="minorEastAsia" w:hAnsiTheme="minorEastAsia" w:eastAsiaTheme="minorEastAsia"/>
          <w:sz w:val="24"/>
          <w:highlight w:val="none"/>
        </w:rPr>
        <w:t>交易合同，将宁沪高速窦庄服务区部分经营权租赁给交控商运公司经营，合同期三年，关联交易额度不超过人民币</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300万元</w:t>
      </w:r>
      <w:r>
        <w:rPr>
          <w:rFonts w:asciiTheme="minorEastAsia" w:hAnsiTheme="minorEastAsia" w:eastAsiaTheme="minorEastAsia"/>
          <w:sz w:val="24"/>
          <w:highlight w:val="none"/>
        </w:rPr>
        <w:t>/年，其中：2023年9月1日</w:t>
      </w:r>
      <w:r>
        <w:rPr>
          <w:rFonts w:hint="eastAsia" w:asciiTheme="minorEastAsia" w:hAnsiTheme="minorEastAsia" w:eastAsiaTheme="minorEastAsia"/>
          <w:sz w:val="24"/>
          <w:highlight w:val="none"/>
        </w:rPr>
        <w:t>至</w:t>
      </w:r>
      <w:r>
        <w:rPr>
          <w:rFonts w:asciiTheme="minorEastAsia" w:hAnsiTheme="minorEastAsia" w:eastAsiaTheme="minorEastAsia"/>
          <w:sz w:val="24"/>
          <w:highlight w:val="none"/>
        </w:rPr>
        <w:t>12月31日</w:t>
      </w:r>
      <w:r>
        <w:rPr>
          <w:rFonts w:hint="eastAsia" w:asciiTheme="minorEastAsia" w:hAnsiTheme="minorEastAsia" w:eastAsiaTheme="minorEastAsia"/>
          <w:sz w:val="24"/>
          <w:highlight w:val="none"/>
        </w:rPr>
        <w:t>不超过人民币430</w:t>
      </w:r>
      <w:r>
        <w:rPr>
          <w:rFonts w:asciiTheme="minorEastAsia" w:hAnsiTheme="minorEastAsia" w:eastAsiaTheme="minorEastAsia"/>
          <w:sz w:val="24"/>
          <w:highlight w:val="none"/>
        </w:rPr>
        <w:t>万元，2024年不超过人民币</w:t>
      </w:r>
      <w:r>
        <w:rPr>
          <w:rFonts w:hint="eastAsia" w:asciiTheme="minorEastAsia" w:hAnsiTheme="minorEastAsia" w:eastAsiaTheme="minorEastAsia"/>
          <w:sz w:val="24"/>
          <w:highlight w:val="none"/>
        </w:rPr>
        <w:t>1300</w:t>
      </w:r>
      <w:r>
        <w:rPr>
          <w:rFonts w:asciiTheme="minorEastAsia" w:hAnsiTheme="minorEastAsia" w:eastAsiaTheme="minorEastAsia"/>
          <w:sz w:val="24"/>
          <w:highlight w:val="none"/>
        </w:rPr>
        <w:t>万元，2025年不超过人民币</w:t>
      </w:r>
      <w:r>
        <w:rPr>
          <w:rFonts w:hint="eastAsia" w:asciiTheme="minorEastAsia" w:hAnsiTheme="minorEastAsia" w:eastAsiaTheme="minorEastAsia"/>
          <w:sz w:val="24"/>
          <w:highlight w:val="none"/>
        </w:rPr>
        <w:t>1300</w:t>
      </w:r>
      <w:r>
        <w:rPr>
          <w:rFonts w:asciiTheme="minorEastAsia" w:hAnsiTheme="minorEastAsia" w:eastAsiaTheme="minorEastAsia"/>
          <w:sz w:val="24"/>
          <w:highlight w:val="none"/>
        </w:rPr>
        <w:t>万元，2026年1月1日</w:t>
      </w:r>
      <w:r>
        <w:rPr>
          <w:rFonts w:hint="eastAsia" w:asciiTheme="minorEastAsia" w:hAnsiTheme="minorEastAsia" w:eastAsiaTheme="minorEastAsia"/>
          <w:sz w:val="24"/>
          <w:highlight w:val="none"/>
        </w:rPr>
        <w:t>至</w:t>
      </w:r>
      <w:r>
        <w:rPr>
          <w:rFonts w:asciiTheme="minorEastAsia" w:hAnsiTheme="minorEastAsia" w:eastAsiaTheme="minorEastAsia"/>
          <w:sz w:val="24"/>
          <w:highlight w:val="none"/>
        </w:rPr>
        <w:t>8月31</w:t>
      </w:r>
      <w:r>
        <w:rPr>
          <w:rFonts w:hint="eastAsia" w:asciiTheme="minorEastAsia" w:hAnsiTheme="minorEastAsia" w:eastAsiaTheme="minorEastAsia"/>
          <w:sz w:val="24"/>
          <w:highlight w:val="none"/>
        </w:rPr>
        <w:t>日不超过人民币870</w:t>
      </w:r>
      <w:r>
        <w:rPr>
          <w:rFonts w:asciiTheme="minorEastAsia" w:hAnsiTheme="minorEastAsia" w:eastAsiaTheme="minorEastAsia"/>
          <w:sz w:val="24"/>
          <w:highlight w:val="none"/>
        </w:rPr>
        <w:t>万元，3年合计不超过不超过人民币</w:t>
      </w:r>
      <w:r>
        <w:rPr>
          <w:rFonts w:hint="eastAsia" w:asciiTheme="minorEastAsia" w:hAnsiTheme="minorEastAsia" w:eastAsiaTheme="minorEastAsia"/>
          <w:sz w:val="24"/>
          <w:highlight w:val="none"/>
        </w:rPr>
        <w:t>3900</w:t>
      </w:r>
      <w:r>
        <w:rPr>
          <w:rFonts w:asciiTheme="minorEastAsia" w:hAnsiTheme="minorEastAsia" w:eastAsiaTheme="minorEastAsia"/>
          <w:sz w:val="24"/>
          <w:highlight w:val="none"/>
        </w:rPr>
        <w:t>万元。批准</w:t>
      </w:r>
      <w:r>
        <w:rPr>
          <w:rFonts w:hint="eastAsia" w:asciiTheme="minorEastAsia" w:hAnsiTheme="minorEastAsia" w:eastAsiaTheme="minorEastAsia"/>
          <w:sz w:val="24"/>
          <w:highlight w:val="none"/>
        </w:rPr>
        <w:t>日常关联</w:t>
      </w:r>
      <w:r>
        <w:rPr>
          <w:rFonts w:asciiTheme="minorEastAsia" w:hAnsiTheme="minorEastAsia" w:eastAsiaTheme="minorEastAsia"/>
          <w:sz w:val="24"/>
          <w:highlight w:val="none"/>
        </w:rPr>
        <w:t>/持续</w:t>
      </w:r>
      <w:r>
        <w:rPr>
          <w:rFonts w:hint="eastAsia" w:asciiTheme="minorEastAsia" w:hAnsiTheme="minorEastAsia" w:eastAsiaTheme="minorEastAsia"/>
          <w:sz w:val="24"/>
          <w:highlight w:val="none"/>
        </w:rPr>
        <w:t>关连交易公告内容并授权公司秘书姚永嘉先生于协议签订后予以公告。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（十一）审议并批准《关于本公司与江苏翠屏山宾馆管理有限公司（以下简称“翠屏山宾馆”）的日常关联/持续关连交易议案》。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与翠屏山宾馆签署日常关联/持续关连交易服务协议，由翠屏山宾馆为本公司提供会务服务、教育培训等，协议期限为2023年9月1日至2024年4月30日，协议金额不超过人民币326万元，其中：2023年9月1日至2023年12月31日不超过人民币248万元，2024年1月1日至2024年4月30日不超过人民币78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pStyle w:val="2"/>
        <w:ind w:firstLine="420"/>
      </w:pPr>
    </w:p>
    <w:p>
      <w:pPr>
        <w:adjustRightInd w:val="0"/>
        <w:spacing w:line="360" w:lineRule="auto"/>
        <w:ind w:firstLine="482"/>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所有董事（包括独立非执行董事）认为上述（六）至（十一）项关联交易事项是在本公司日常业务中进行（第（九）项除外），属一般商业条款，交易条款公平合理，公司的收入、利润对该类交易并不存在依赖性，也不存在影响本公司作为上市公司独立性的情形，对本公司并无负面影响，不会损害本公司及非关联股东利益，尤其是中小股东的利益，且符合本公司及其股东的整体利益。</w:t>
      </w:r>
    </w:p>
    <w:p>
      <w:pPr>
        <w:pStyle w:val="5"/>
        <w:spacing w:line="360" w:lineRule="auto"/>
        <w:ind w:firstLine="482"/>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按照《香港联合交易所有限公司证券上市的规则》第</w:t>
      </w:r>
      <w:r>
        <w:rPr>
          <w:rFonts w:asciiTheme="minorEastAsia" w:hAnsiTheme="minorEastAsia" w:eastAsiaTheme="minorEastAsia"/>
          <w:b/>
          <w:sz w:val="24"/>
          <w:highlight w:val="none"/>
        </w:rPr>
        <w:t>14A.76(1)(a)</w:t>
      </w:r>
      <w:r>
        <w:rPr>
          <w:rFonts w:hint="eastAsia" w:asciiTheme="minorEastAsia" w:hAnsiTheme="minorEastAsia" w:eastAsiaTheme="minorEastAsia"/>
          <w:b/>
          <w:sz w:val="24"/>
          <w:highlight w:val="none"/>
        </w:rPr>
        <w:t>条，上述第（六）至（八），（十）之</w:t>
      </w:r>
      <w:r>
        <w:rPr>
          <w:rFonts w:asciiTheme="minorEastAsia" w:hAnsiTheme="minorEastAsia" w:eastAsiaTheme="minorEastAsia"/>
          <w:b/>
          <w:sz w:val="24"/>
          <w:highlight w:val="none"/>
        </w:rPr>
        <w:t>2</w:t>
      </w:r>
      <w:r>
        <w:rPr>
          <w:rFonts w:hint="eastAsia" w:asciiTheme="minorEastAsia" w:hAnsiTheme="minorEastAsia" w:eastAsiaTheme="minorEastAsia"/>
          <w:b/>
          <w:sz w:val="24"/>
          <w:highlight w:val="none"/>
        </w:rPr>
        <w:t>及（十一）项交易是符合最低豁免水平的关连交易，可获得全面豁免遵守关连交易股东批准及所有披露规定。</w:t>
      </w:r>
    </w:p>
    <w:p>
      <w:pPr>
        <w:pStyle w:val="5"/>
        <w:spacing w:line="360" w:lineRule="auto"/>
        <w:ind w:firstLine="482"/>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招商局交通科研是本公司的第二大股东招商局公路网络科技控股股份有限公司全资子公司，因此第（七）项交易事项，关联╱关连董事吴新华先生、李晓艳女士对该项决议回避表决，其余各董事均可在本决议案中投票。</w:t>
      </w:r>
      <w:r>
        <w:rPr>
          <w:rFonts w:asciiTheme="minorEastAsia" w:hAnsiTheme="minorEastAsia" w:eastAsiaTheme="minorEastAsia"/>
          <w:b/>
          <w:sz w:val="24"/>
          <w:highlight w:val="none"/>
        </w:rPr>
        <w:t xml:space="preserve"> </w:t>
      </w:r>
    </w:p>
    <w:p>
      <w:pPr>
        <w:adjustRightInd w:val="0"/>
        <w:snapToGri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highlight w:val="none"/>
        </w:rPr>
        <w:t>上述第（六）、（八）至（十一）项关联</w:t>
      </w: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持续关连交易事项中，交易对手方均为本公司控股股东江苏交通控股有限公司的联系人，关联</w:t>
      </w: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关连董事徐海北先生、王颖健先生回避表决，其余各董事均可投票。</w:t>
      </w:r>
    </w:p>
    <w:p>
      <w:pPr>
        <w:adjustRightInd w:val="0"/>
        <w:snapToGrid w:val="0"/>
        <w:spacing w:line="360" w:lineRule="auto"/>
        <w:ind w:firstLine="482" w:firstLineChars="200"/>
        <w:rPr>
          <w:rFonts w:asciiTheme="minorEastAsia" w:hAnsiTheme="minorEastAsia" w:eastAsiaTheme="minorEastAsia"/>
          <w:b/>
          <w:sz w:val="24"/>
        </w:rPr>
      </w:pPr>
    </w:p>
    <w:p>
      <w:pPr>
        <w:adjustRightInd w:val="0"/>
        <w:snapToGrid w:val="0"/>
        <w:spacing w:line="360" w:lineRule="auto"/>
        <w:ind w:firstLine="482" w:firstLineChars="200"/>
        <w:rPr>
          <w:rFonts w:cs="宋体" w:asciiTheme="minorEastAsia" w:hAnsiTheme="minorEastAsia" w:eastAsiaTheme="minorEastAsia"/>
          <w:b/>
          <w:sz w:val="24"/>
        </w:rPr>
      </w:pPr>
      <w:r>
        <w:rPr>
          <w:rFonts w:hint="eastAsia" w:cs="宋体" w:asciiTheme="minorEastAsia" w:hAnsiTheme="minorEastAsia" w:eastAsiaTheme="minorEastAsia"/>
          <w:b/>
          <w:sz w:val="24"/>
        </w:rPr>
        <w:t>特此公告。</w:t>
      </w:r>
    </w:p>
    <w:p>
      <w:pPr>
        <w:pStyle w:val="2"/>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附件：董事会秘书（代行）、财务负责人简历</w:t>
      </w:r>
    </w:p>
    <w:p>
      <w:pPr>
        <w:pStyle w:val="2"/>
        <w:spacing w:line="360" w:lineRule="auto"/>
        <w:ind w:firstLine="480" w:firstLineChars="200"/>
        <w:rPr>
          <w:rFonts w:asciiTheme="minorEastAsia" w:hAnsiTheme="minorEastAsia" w:eastAsiaTheme="minorEastAsia"/>
          <w:sz w:val="24"/>
          <w:szCs w:val="24"/>
        </w:rPr>
      </w:pPr>
    </w:p>
    <w:p>
      <w:pPr>
        <w:pStyle w:val="2"/>
        <w:spacing w:line="360" w:lineRule="auto"/>
        <w:ind w:firstLine="480" w:firstLineChars="200"/>
        <w:rPr>
          <w:rFonts w:asciiTheme="minorEastAsia" w:hAnsiTheme="minorEastAsia" w:eastAsiaTheme="minorEastAsia"/>
          <w:sz w:val="24"/>
          <w:szCs w:val="24"/>
        </w:rPr>
      </w:pPr>
    </w:p>
    <w:p>
      <w:pPr>
        <w:pStyle w:val="2"/>
        <w:spacing w:line="360" w:lineRule="auto"/>
        <w:ind w:firstLine="480" w:firstLineChars="200"/>
        <w:rPr>
          <w:rFonts w:asciiTheme="minorEastAsia" w:hAnsiTheme="minorEastAsia" w:eastAsiaTheme="minorEastAsia"/>
          <w:sz w:val="24"/>
          <w:szCs w:val="24"/>
        </w:rPr>
      </w:pPr>
    </w:p>
    <w:p>
      <w:pPr>
        <w:adjustRightInd w:val="0"/>
        <w:spacing w:line="360" w:lineRule="auto"/>
        <w:ind w:firstLine="482" w:firstLineChars="200"/>
        <w:jc w:val="righ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江苏宁沪高速公路股份有限公司董事会</w:t>
      </w:r>
    </w:p>
    <w:p>
      <w:pPr>
        <w:widowControl/>
        <w:spacing w:line="360" w:lineRule="auto"/>
        <w:ind w:firstLine="482" w:firstLineChars="200"/>
        <w:jc w:val="center"/>
        <w:rPr>
          <w:rFonts w:asciiTheme="minorEastAsia" w:hAnsiTheme="minorEastAsia" w:eastAsiaTheme="minorEastAsia"/>
          <w:sz w:val="24"/>
        </w:rPr>
      </w:pPr>
      <w:r>
        <w:rPr>
          <w:rFonts w:hint="eastAsia" w:cs="宋体" w:asciiTheme="minorEastAsia" w:hAnsiTheme="minorEastAsia" w:eastAsiaTheme="minorEastAsia"/>
          <w:b/>
          <w:sz w:val="24"/>
        </w:rPr>
        <w:t xml:space="preserve">                                       二〇二三年八月二十八日</w:t>
      </w:r>
    </w:p>
    <w:p>
      <w:pPr>
        <w:pStyle w:val="2"/>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br w:type="page"/>
      </w:r>
    </w:p>
    <w:p>
      <w:pPr>
        <w:pStyle w:val="2"/>
        <w:spacing w:line="360" w:lineRule="auto"/>
        <w:ind w:left="0"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附件</w:t>
      </w:r>
      <w:r>
        <w:rPr>
          <w:rFonts w:hint="eastAsia" w:asciiTheme="minorEastAsia" w:hAnsiTheme="minorEastAsia" w:eastAsiaTheme="minorEastAsia"/>
          <w:sz w:val="24"/>
          <w:szCs w:val="24"/>
        </w:rPr>
        <w:t>：</w:t>
      </w:r>
    </w:p>
    <w:p>
      <w:pPr>
        <w:pStyle w:val="2"/>
        <w:spacing w:line="360" w:lineRule="auto"/>
        <w:ind w:firstLine="480" w:firstLineChars="200"/>
        <w:jc w:val="center"/>
        <w:rPr>
          <w:rFonts w:asciiTheme="minorEastAsia" w:hAnsiTheme="minorEastAsia" w:eastAsiaTheme="minorEastAsia"/>
          <w:sz w:val="24"/>
          <w:szCs w:val="24"/>
        </w:rPr>
      </w:pPr>
    </w:p>
    <w:p>
      <w:pPr>
        <w:pStyle w:val="2"/>
        <w:spacing w:line="360" w:lineRule="auto"/>
        <w:ind w:firstLine="482" w:firstLineChars="200"/>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董事会秘书（代行）、财务负责人简历</w:t>
      </w:r>
    </w:p>
    <w:p>
      <w:pPr>
        <w:pStyle w:val="2"/>
        <w:spacing w:line="360" w:lineRule="auto"/>
        <w:ind w:firstLine="482" w:firstLineChars="200"/>
        <w:jc w:val="center"/>
        <w:rPr>
          <w:rFonts w:asciiTheme="minorEastAsia" w:hAnsiTheme="minorEastAsia" w:eastAsiaTheme="minorEastAsia"/>
          <w:b/>
          <w:sz w:val="24"/>
          <w:szCs w:val="24"/>
        </w:rPr>
      </w:pPr>
    </w:p>
    <w:p>
      <w:pPr>
        <w:widowControl/>
        <w:spacing w:line="360" w:lineRule="auto"/>
        <w:ind w:firstLine="480" w:firstLineChars="200"/>
        <w:jc w:val="left"/>
        <w:rPr>
          <w:rFonts w:ascii="宋体" w:hAnsi="宋体" w:cs="宋体"/>
          <w:b/>
          <w:sz w:val="24"/>
        </w:rPr>
      </w:pPr>
      <w:r>
        <w:rPr>
          <w:rFonts w:hint="eastAsia" w:asciiTheme="minorEastAsia" w:hAnsiTheme="minorEastAsia" w:eastAsiaTheme="minorEastAsia"/>
          <w:sz w:val="24"/>
        </w:rPr>
        <w:t>陈晋佳，女，汉族，1975年12月出生，硕士学位，本科学历，中共党员，注册资产评估师、国际内部控制协会国际注册内部控制师。陈女士曾任江苏省铁路发展股份有限公司经营管理部副经理（主持工作）、证券部副经理（主持工作）、证券部经理、董秘室经理，江苏云杉清洁能源投资控股有限公司综合管理部经理、副总经理、党总支委员、工会主席。现任江苏宁沪高速公路股份有限公司副总经理、党委委员。陈女士长期从事企业管理工作，具有丰富的企业管理经验。</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9"/>
          <w:jc w:val="center"/>
        </w:pPr>
        <w:r>
          <w:fldChar w:fldCharType="begin"/>
        </w:r>
        <w:r>
          <w:instrText xml:space="preserve"> PAGE   \* MERGEFORMAT </w:instrText>
        </w:r>
        <w:r>
          <w:fldChar w:fldCharType="separate"/>
        </w:r>
        <w:r>
          <w:rPr>
            <w:lang w:val="zh-CN"/>
          </w:rPr>
          <w:t>1</w:t>
        </w:r>
        <w: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496"/>
    <w:rsid w:val="0000584F"/>
    <w:rsid w:val="00005E2E"/>
    <w:rsid w:val="00007A25"/>
    <w:rsid w:val="0001102C"/>
    <w:rsid w:val="0001126D"/>
    <w:rsid w:val="00016757"/>
    <w:rsid w:val="0001765A"/>
    <w:rsid w:val="000219D2"/>
    <w:rsid w:val="00023DAA"/>
    <w:rsid w:val="00027911"/>
    <w:rsid w:val="00034190"/>
    <w:rsid w:val="00034B5F"/>
    <w:rsid w:val="00035221"/>
    <w:rsid w:val="0003783F"/>
    <w:rsid w:val="00040BA4"/>
    <w:rsid w:val="0004264D"/>
    <w:rsid w:val="0004277A"/>
    <w:rsid w:val="000441F6"/>
    <w:rsid w:val="00047746"/>
    <w:rsid w:val="00050C3B"/>
    <w:rsid w:val="000526CF"/>
    <w:rsid w:val="00052CD1"/>
    <w:rsid w:val="00053588"/>
    <w:rsid w:val="00054D39"/>
    <w:rsid w:val="00055039"/>
    <w:rsid w:val="000556FF"/>
    <w:rsid w:val="000578C0"/>
    <w:rsid w:val="00061954"/>
    <w:rsid w:val="00062157"/>
    <w:rsid w:val="00062AF9"/>
    <w:rsid w:val="00063A61"/>
    <w:rsid w:val="0006475D"/>
    <w:rsid w:val="00065DBC"/>
    <w:rsid w:val="000662A2"/>
    <w:rsid w:val="000675FE"/>
    <w:rsid w:val="000704FA"/>
    <w:rsid w:val="00071F14"/>
    <w:rsid w:val="00075A6A"/>
    <w:rsid w:val="00081055"/>
    <w:rsid w:val="0008340A"/>
    <w:rsid w:val="00085196"/>
    <w:rsid w:val="00085A31"/>
    <w:rsid w:val="00085E52"/>
    <w:rsid w:val="000868C5"/>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57A"/>
    <w:rsid w:val="000D2AE7"/>
    <w:rsid w:val="000D5ABB"/>
    <w:rsid w:val="000D5F1A"/>
    <w:rsid w:val="000D6282"/>
    <w:rsid w:val="000D79B9"/>
    <w:rsid w:val="000E092A"/>
    <w:rsid w:val="000E3D93"/>
    <w:rsid w:val="000E54EA"/>
    <w:rsid w:val="000F0AAE"/>
    <w:rsid w:val="000F2496"/>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0664"/>
    <w:rsid w:val="00122022"/>
    <w:rsid w:val="0012282C"/>
    <w:rsid w:val="00123339"/>
    <w:rsid w:val="00125CB3"/>
    <w:rsid w:val="00131852"/>
    <w:rsid w:val="00132F83"/>
    <w:rsid w:val="00134E99"/>
    <w:rsid w:val="0013597A"/>
    <w:rsid w:val="00135BC3"/>
    <w:rsid w:val="00136991"/>
    <w:rsid w:val="001377DF"/>
    <w:rsid w:val="001429A7"/>
    <w:rsid w:val="00144BCE"/>
    <w:rsid w:val="001459AD"/>
    <w:rsid w:val="00147739"/>
    <w:rsid w:val="0015081A"/>
    <w:rsid w:val="001509BC"/>
    <w:rsid w:val="0015152F"/>
    <w:rsid w:val="00154752"/>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3D57"/>
    <w:rsid w:val="001A5BDE"/>
    <w:rsid w:val="001A6F57"/>
    <w:rsid w:val="001B1BCE"/>
    <w:rsid w:val="001B35DC"/>
    <w:rsid w:val="001B56D0"/>
    <w:rsid w:val="001B62FA"/>
    <w:rsid w:val="001B7836"/>
    <w:rsid w:val="001C1E80"/>
    <w:rsid w:val="001C49DE"/>
    <w:rsid w:val="001C5BD3"/>
    <w:rsid w:val="001C6A7F"/>
    <w:rsid w:val="001D26C5"/>
    <w:rsid w:val="001D2822"/>
    <w:rsid w:val="001D288C"/>
    <w:rsid w:val="001D6675"/>
    <w:rsid w:val="001D7F02"/>
    <w:rsid w:val="001E4044"/>
    <w:rsid w:val="001E4403"/>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26BF"/>
    <w:rsid w:val="0021500E"/>
    <w:rsid w:val="0021654F"/>
    <w:rsid w:val="00216AA0"/>
    <w:rsid w:val="00216E01"/>
    <w:rsid w:val="002207CF"/>
    <w:rsid w:val="00222B18"/>
    <w:rsid w:val="00222EE0"/>
    <w:rsid w:val="0022314C"/>
    <w:rsid w:val="002247D3"/>
    <w:rsid w:val="00225B27"/>
    <w:rsid w:val="0023118C"/>
    <w:rsid w:val="002314A5"/>
    <w:rsid w:val="00231561"/>
    <w:rsid w:val="002315C1"/>
    <w:rsid w:val="002335D7"/>
    <w:rsid w:val="002369D3"/>
    <w:rsid w:val="00236D8E"/>
    <w:rsid w:val="002410E4"/>
    <w:rsid w:val="00243E8F"/>
    <w:rsid w:val="002448B2"/>
    <w:rsid w:val="00252AF1"/>
    <w:rsid w:val="00252B07"/>
    <w:rsid w:val="00254B71"/>
    <w:rsid w:val="002607C6"/>
    <w:rsid w:val="002623BC"/>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31D1"/>
    <w:rsid w:val="002976C5"/>
    <w:rsid w:val="00297991"/>
    <w:rsid w:val="002A00E1"/>
    <w:rsid w:val="002A062B"/>
    <w:rsid w:val="002A1F3A"/>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D36"/>
    <w:rsid w:val="00326EC9"/>
    <w:rsid w:val="00331EB7"/>
    <w:rsid w:val="00331EE7"/>
    <w:rsid w:val="00332A81"/>
    <w:rsid w:val="0033500C"/>
    <w:rsid w:val="00335ACF"/>
    <w:rsid w:val="003375CB"/>
    <w:rsid w:val="0034109E"/>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240B"/>
    <w:rsid w:val="0037494C"/>
    <w:rsid w:val="00375262"/>
    <w:rsid w:val="00376548"/>
    <w:rsid w:val="00377599"/>
    <w:rsid w:val="00381FE7"/>
    <w:rsid w:val="00383402"/>
    <w:rsid w:val="00384250"/>
    <w:rsid w:val="00384B47"/>
    <w:rsid w:val="00390F5C"/>
    <w:rsid w:val="0039121B"/>
    <w:rsid w:val="00392C9D"/>
    <w:rsid w:val="003957AD"/>
    <w:rsid w:val="003A0E93"/>
    <w:rsid w:val="003A78CC"/>
    <w:rsid w:val="003A7AD7"/>
    <w:rsid w:val="003A7F1F"/>
    <w:rsid w:val="003B3357"/>
    <w:rsid w:val="003B3E1C"/>
    <w:rsid w:val="003B4209"/>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6009"/>
    <w:rsid w:val="0041614E"/>
    <w:rsid w:val="00420D99"/>
    <w:rsid w:val="00421468"/>
    <w:rsid w:val="004217D7"/>
    <w:rsid w:val="00421EAE"/>
    <w:rsid w:val="00423E08"/>
    <w:rsid w:val="0042425D"/>
    <w:rsid w:val="0042607D"/>
    <w:rsid w:val="00427099"/>
    <w:rsid w:val="00431219"/>
    <w:rsid w:val="00431BC7"/>
    <w:rsid w:val="004361E6"/>
    <w:rsid w:val="004420C3"/>
    <w:rsid w:val="004469B2"/>
    <w:rsid w:val="00452F56"/>
    <w:rsid w:val="00454D3C"/>
    <w:rsid w:val="004628D0"/>
    <w:rsid w:val="0046461E"/>
    <w:rsid w:val="004652E0"/>
    <w:rsid w:val="00466992"/>
    <w:rsid w:val="00466C2E"/>
    <w:rsid w:val="004675DB"/>
    <w:rsid w:val="00467CA1"/>
    <w:rsid w:val="00473794"/>
    <w:rsid w:val="00474D1D"/>
    <w:rsid w:val="00475917"/>
    <w:rsid w:val="00477544"/>
    <w:rsid w:val="00480100"/>
    <w:rsid w:val="004801D1"/>
    <w:rsid w:val="004828F4"/>
    <w:rsid w:val="00483D94"/>
    <w:rsid w:val="00487562"/>
    <w:rsid w:val="00492784"/>
    <w:rsid w:val="00493113"/>
    <w:rsid w:val="004934F0"/>
    <w:rsid w:val="0049391E"/>
    <w:rsid w:val="004946D0"/>
    <w:rsid w:val="004967FD"/>
    <w:rsid w:val="004968D3"/>
    <w:rsid w:val="004A00F3"/>
    <w:rsid w:val="004A02EC"/>
    <w:rsid w:val="004A037A"/>
    <w:rsid w:val="004A4600"/>
    <w:rsid w:val="004A749A"/>
    <w:rsid w:val="004B10E0"/>
    <w:rsid w:val="004B2B41"/>
    <w:rsid w:val="004B3187"/>
    <w:rsid w:val="004C01C3"/>
    <w:rsid w:val="004C029F"/>
    <w:rsid w:val="004C3AF4"/>
    <w:rsid w:val="004C4368"/>
    <w:rsid w:val="004C5D73"/>
    <w:rsid w:val="004C6918"/>
    <w:rsid w:val="004D4633"/>
    <w:rsid w:val="004D4E2C"/>
    <w:rsid w:val="004D5937"/>
    <w:rsid w:val="004D5E4B"/>
    <w:rsid w:val="004D7165"/>
    <w:rsid w:val="004E0753"/>
    <w:rsid w:val="004E148F"/>
    <w:rsid w:val="004E2694"/>
    <w:rsid w:val="004E3EC8"/>
    <w:rsid w:val="004E3FBF"/>
    <w:rsid w:val="004F4077"/>
    <w:rsid w:val="004F4341"/>
    <w:rsid w:val="00502E01"/>
    <w:rsid w:val="00503D84"/>
    <w:rsid w:val="00504C2E"/>
    <w:rsid w:val="00510C51"/>
    <w:rsid w:val="00511660"/>
    <w:rsid w:val="005131BF"/>
    <w:rsid w:val="00513844"/>
    <w:rsid w:val="005159A6"/>
    <w:rsid w:val="00520EA4"/>
    <w:rsid w:val="00521157"/>
    <w:rsid w:val="00521215"/>
    <w:rsid w:val="00523719"/>
    <w:rsid w:val="00524505"/>
    <w:rsid w:val="00525093"/>
    <w:rsid w:val="00527A67"/>
    <w:rsid w:val="0053107A"/>
    <w:rsid w:val="00531AA2"/>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B2"/>
    <w:rsid w:val="005736F9"/>
    <w:rsid w:val="0057435F"/>
    <w:rsid w:val="0057627B"/>
    <w:rsid w:val="005768E7"/>
    <w:rsid w:val="00577FBA"/>
    <w:rsid w:val="0058071B"/>
    <w:rsid w:val="00581391"/>
    <w:rsid w:val="005820F6"/>
    <w:rsid w:val="00582CC0"/>
    <w:rsid w:val="00584949"/>
    <w:rsid w:val="00584A24"/>
    <w:rsid w:val="00585373"/>
    <w:rsid w:val="00586238"/>
    <w:rsid w:val="00586590"/>
    <w:rsid w:val="005919F1"/>
    <w:rsid w:val="00591F94"/>
    <w:rsid w:val="0059220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3C89"/>
    <w:rsid w:val="005D5D09"/>
    <w:rsid w:val="005E02E6"/>
    <w:rsid w:val="005E26F8"/>
    <w:rsid w:val="005E2D9D"/>
    <w:rsid w:val="005E438B"/>
    <w:rsid w:val="005F2967"/>
    <w:rsid w:val="005F7C50"/>
    <w:rsid w:val="006009F4"/>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45195"/>
    <w:rsid w:val="00650E00"/>
    <w:rsid w:val="00651FF5"/>
    <w:rsid w:val="0065259D"/>
    <w:rsid w:val="00653A96"/>
    <w:rsid w:val="00654B6A"/>
    <w:rsid w:val="006568C2"/>
    <w:rsid w:val="00660B38"/>
    <w:rsid w:val="00660D2A"/>
    <w:rsid w:val="006620AB"/>
    <w:rsid w:val="006622CE"/>
    <w:rsid w:val="0066307C"/>
    <w:rsid w:val="00663A4C"/>
    <w:rsid w:val="00664CE8"/>
    <w:rsid w:val="006660BA"/>
    <w:rsid w:val="00666D99"/>
    <w:rsid w:val="00667CA3"/>
    <w:rsid w:val="00670505"/>
    <w:rsid w:val="00670D0B"/>
    <w:rsid w:val="00671243"/>
    <w:rsid w:val="00672F48"/>
    <w:rsid w:val="00673552"/>
    <w:rsid w:val="00674C44"/>
    <w:rsid w:val="0067610C"/>
    <w:rsid w:val="00677928"/>
    <w:rsid w:val="00681767"/>
    <w:rsid w:val="0068576D"/>
    <w:rsid w:val="00686903"/>
    <w:rsid w:val="00691848"/>
    <w:rsid w:val="006929BC"/>
    <w:rsid w:val="00695E4E"/>
    <w:rsid w:val="00697994"/>
    <w:rsid w:val="006A31D0"/>
    <w:rsid w:val="006A3FC1"/>
    <w:rsid w:val="006A4AB4"/>
    <w:rsid w:val="006A6121"/>
    <w:rsid w:val="006B131A"/>
    <w:rsid w:val="006B1C1F"/>
    <w:rsid w:val="006B2EB4"/>
    <w:rsid w:val="006C1723"/>
    <w:rsid w:val="006C4C18"/>
    <w:rsid w:val="006C7DAA"/>
    <w:rsid w:val="006D151C"/>
    <w:rsid w:val="006D185F"/>
    <w:rsid w:val="006D1BCF"/>
    <w:rsid w:val="006D2F90"/>
    <w:rsid w:val="006D5928"/>
    <w:rsid w:val="006D5DA8"/>
    <w:rsid w:val="006D6BFF"/>
    <w:rsid w:val="006D78F8"/>
    <w:rsid w:val="006E148C"/>
    <w:rsid w:val="006E5A3E"/>
    <w:rsid w:val="006E64B6"/>
    <w:rsid w:val="006E65AE"/>
    <w:rsid w:val="00700B9B"/>
    <w:rsid w:val="00701C48"/>
    <w:rsid w:val="00701D29"/>
    <w:rsid w:val="007032DB"/>
    <w:rsid w:val="00703A95"/>
    <w:rsid w:val="00703DC2"/>
    <w:rsid w:val="007046A6"/>
    <w:rsid w:val="007047DF"/>
    <w:rsid w:val="00704D95"/>
    <w:rsid w:val="00705F65"/>
    <w:rsid w:val="00706C4A"/>
    <w:rsid w:val="007073CA"/>
    <w:rsid w:val="00713779"/>
    <w:rsid w:val="0071640C"/>
    <w:rsid w:val="00716DE9"/>
    <w:rsid w:val="0072147C"/>
    <w:rsid w:val="00721920"/>
    <w:rsid w:val="00721A79"/>
    <w:rsid w:val="0072399A"/>
    <w:rsid w:val="00724DED"/>
    <w:rsid w:val="0072639B"/>
    <w:rsid w:val="00731149"/>
    <w:rsid w:val="00737E2E"/>
    <w:rsid w:val="0074109A"/>
    <w:rsid w:val="0074150D"/>
    <w:rsid w:val="00741B34"/>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96A"/>
    <w:rsid w:val="00777CC7"/>
    <w:rsid w:val="00781688"/>
    <w:rsid w:val="007821D4"/>
    <w:rsid w:val="00787096"/>
    <w:rsid w:val="007877F2"/>
    <w:rsid w:val="00787AF7"/>
    <w:rsid w:val="00792B6D"/>
    <w:rsid w:val="007943B2"/>
    <w:rsid w:val="00795976"/>
    <w:rsid w:val="007978F1"/>
    <w:rsid w:val="007A0980"/>
    <w:rsid w:val="007A1FC2"/>
    <w:rsid w:val="007A3640"/>
    <w:rsid w:val="007A39CA"/>
    <w:rsid w:val="007A3F82"/>
    <w:rsid w:val="007A4D1C"/>
    <w:rsid w:val="007A4D5F"/>
    <w:rsid w:val="007A61DC"/>
    <w:rsid w:val="007B068C"/>
    <w:rsid w:val="007B212A"/>
    <w:rsid w:val="007B26B6"/>
    <w:rsid w:val="007B2AD5"/>
    <w:rsid w:val="007B4709"/>
    <w:rsid w:val="007B6048"/>
    <w:rsid w:val="007C335F"/>
    <w:rsid w:val="007C6482"/>
    <w:rsid w:val="007D3182"/>
    <w:rsid w:val="007D7A5E"/>
    <w:rsid w:val="007E1A77"/>
    <w:rsid w:val="007E2B0C"/>
    <w:rsid w:val="007E3D43"/>
    <w:rsid w:val="007E4CA7"/>
    <w:rsid w:val="007E51A5"/>
    <w:rsid w:val="007F10AC"/>
    <w:rsid w:val="007F3BD3"/>
    <w:rsid w:val="007F4C1E"/>
    <w:rsid w:val="007F648B"/>
    <w:rsid w:val="0080132D"/>
    <w:rsid w:val="00801FDA"/>
    <w:rsid w:val="00802EED"/>
    <w:rsid w:val="00805899"/>
    <w:rsid w:val="00805A6E"/>
    <w:rsid w:val="0080677F"/>
    <w:rsid w:val="00813951"/>
    <w:rsid w:val="00814CC1"/>
    <w:rsid w:val="008168C2"/>
    <w:rsid w:val="008175C6"/>
    <w:rsid w:val="0081785A"/>
    <w:rsid w:val="00817F17"/>
    <w:rsid w:val="00820979"/>
    <w:rsid w:val="00821D14"/>
    <w:rsid w:val="00822588"/>
    <w:rsid w:val="0082360E"/>
    <w:rsid w:val="00824395"/>
    <w:rsid w:val="0083359B"/>
    <w:rsid w:val="008344BD"/>
    <w:rsid w:val="008349BF"/>
    <w:rsid w:val="00842549"/>
    <w:rsid w:val="0084617D"/>
    <w:rsid w:val="00846896"/>
    <w:rsid w:val="008474C5"/>
    <w:rsid w:val="008514BA"/>
    <w:rsid w:val="00851515"/>
    <w:rsid w:val="00851ABB"/>
    <w:rsid w:val="00851F5B"/>
    <w:rsid w:val="008525D1"/>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6E77"/>
    <w:rsid w:val="0087724A"/>
    <w:rsid w:val="00877CE0"/>
    <w:rsid w:val="00882BFF"/>
    <w:rsid w:val="008851C4"/>
    <w:rsid w:val="00887747"/>
    <w:rsid w:val="00891C5F"/>
    <w:rsid w:val="00892F8C"/>
    <w:rsid w:val="00894360"/>
    <w:rsid w:val="00895F4C"/>
    <w:rsid w:val="0089618B"/>
    <w:rsid w:val="00897828"/>
    <w:rsid w:val="00897CEF"/>
    <w:rsid w:val="008A2FB4"/>
    <w:rsid w:val="008A4DBE"/>
    <w:rsid w:val="008A528E"/>
    <w:rsid w:val="008A5809"/>
    <w:rsid w:val="008A5BDD"/>
    <w:rsid w:val="008A6912"/>
    <w:rsid w:val="008B0040"/>
    <w:rsid w:val="008B07BB"/>
    <w:rsid w:val="008B29CB"/>
    <w:rsid w:val="008B5B1C"/>
    <w:rsid w:val="008B6B34"/>
    <w:rsid w:val="008C1D1E"/>
    <w:rsid w:val="008C2FCB"/>
    <w:rsid w:val="008C5AAD"/>
    <w:rsid w:val="008C74BE"/>
    <w:rsid w:val="008C7FB1"/>
    <w:rsid w:val="008D03ED"/>
    <w:rsid w:val="008D060E"/>
    <w:rsid w:val="008D3D23"/>
    <w:rsid w:val="008D736F"/>
    <w:rsid w:val="008D7589"/>
    <w:rsid w:val="008D7FD3"/>
    <w:rsid w:val="008E3FB0"/>
    <w:rsid w:val="008E50AB"/>
    <w:rsid w:val="008F09DA"/>
    <w:rsid w:val="008F26EB"/>
    <w:rsid w:val="008F3269"/>
    <w:rsid w:val="008F32F2"/>
    <w:rsid w:val="008F3E71"/>
    <w:rsid w:val="008F5714"/>
    <w:rsid w:val="008F775A"/>
    <w:rsid w:val="009004C7"/>
    <w:rsid w:val="0090061C"/>
    <w:rsid w:val="00903F38"/>
    <w:rsid w:val="0090481C"/>
    <w:rsid w:val="0090519E"/>
    <w:rsid w:val="00905E6C"/>
    <w:rsid w:val="0090668E"/>
    <w:rsid w:val="0091022B"/>
    <w:rsid w:val="009175CC"/>
    <w:rsid w:val="009227B3"/>
    <w:rsid w:val="00922D03"/>
    <w:rsid w:val="00923A48"/>
    <w:rsid w:val="00927503"/>
    <w:rsid w:val="00927838"/>
    <w:rsid w:val="0093062E"/>
    <w:rsid w:val="00931060"/>
    <w:rsid w:val="00931DE4"/>
    <w:rsid w:val="0093655F"/>
    <w:rsid w:val="00936BDF"/>
    <w:rsid w:val="00937409"/>
    <w:rsid w:val="00940597"/>
    <w:rsid w:val="009407D6"/>
    <w:rsid w:val="0094249B"/>
    <w:rsid w:val="0094373E"/>
    <w:rsid w:val="009439D8"/>
    <w:rsid w:val="009448C8"/>
    <w:rsid w:val="009455E6"/>
    <w:rsid w:val="00947C70"/>
    <w:rsid w:val="00950FA2"/>
    <w:rsid w:val="009510C5"/>
    <w:rsid w:val="009511F4"/>
    <w:rsid w:val="0095309F"/>
    <w:rsid w:val="00953756"/>
    <w:rsid w:val="009542CB"/>
    <w:rsid w:val="00954D0E"/>
    <w:rsid w:val="00956A58"/>
    <w:rsid w:val="00960851"/>
    <w:rsid w:val="009608E2"/>
    <w:rsid w:val="00960C2D"/>
    <w:rsid w:val="00963A63"/>
    <w:rsid w:val="00965F59"/>
    <w:rsid w:val="0097249A"/>
    <w:rsid w:val="00972BFD"/>
    <w:rsid w:val="009733CE"/>
    <w:rsid w:val="0097605D"/>
    <w:rsid w:val="00977798"/>
    <w:rsid w:val="00980148"/>
    <w:rsid w:val="00981DF3"/>
    <w:rsid w:val="00982EDF"/>
    <w:rsid w:val="00985BA9"/>
    <w:rsid w:val="00986E30"/>
    <w:rsid w:val="00990210"/>
    <w:rsid w:val="009918CB"/>
    <w:rsid w:val="00993D69"/>
    <w:rsid w:val="0099676C"/>
    <w:rsid w:val="009978DA"/>
    <w:rsid w:val="009A0421"/>
    <w:rsid w:val="009A0545"/>
    <w:rsid w:val="009A5C4D"/>
    <w:rsid w:val="009A60C1"/>
    <w:rsid w:val="009A6DFD"/>
    <w:rsid w:val="009A7999"/>
    <w:rsid w:val="009B1940"/>
    <w:rsid w:val="009C1F92"/>
    <w:rsid w:val="009C3E84"/>
    <w:rsid w:val="009C4C67"/>
    <w:rsid w:val="009C6135"/>
    <w:rsid w:val="009D053D"/>
    <w:rsid w:val="009D0B8F"/>
    <w:rsid w:val="009D0BCF"/>
    <w:rsid w:val="009D0FBB"/>
    <w:rsid w:val="009D1593"/>
    <w:rsid w:val="009D2710"/>
    <w:rsid w:val="009D3370"/>
    <w:rsid w:val="009D4838"/>
    <w:rsid w:val="009D545D"/>
    <w:rsid w:val="009D55A2"/>
    <w:rsid w:val="009D5630"/>
    <w:rsid w:val="009D5C3D"/>
    <w:rsid w:val="009D6F73"/>
    <w:rsid w:val="009E0F0C"/>
    <w:rsid w:val="009E121D"/>
    <w:rsid w:val="009E1351"/>
    <w:rsid w:val="009E15D9"/>
    <w:rsid w:val="009E440D"/>
    <w:rsid w:val="009E5B89"/>
    <w:rsid w:val="009F1D1E"/>
    <w:rsid w:val="009F365F"/>
    <w:rsid w:val="009F5BA9"/>
    <w:rsid w:val="00A002AD"/>
    <w:rsid w:val="00A01F7B"/>
    <w:rsid w:val="00A01FB7"/>
    <w:rsid w:val="00A07911"/>
    <w:rsid w:val="00A10662"/>
    <w:rsid w:val="00A1312B"/>
    <w:rsid w:val="00A14146"/>
    <w:rsid w:val="00A1483E"/>
    <w:rsid w:val="00A1486D"/>
    <w:rsid w:val="00A15737"/>
    <w:rsid w:val="00A15B0A"/>
    <w:rsid w:val="00A16950"/>
    <w:rsid w:val="00A23602"/>
    <w:rsid w:val="00A24BB0"/>
    <w:rsid w:val="00A255E6"/>
    <w:rsid w:val="00A25CDD"/>
    <w:rsid w:val="00A26518"/>
    <w:rsid w:val="00A2684A"/>
    <w:rsid w:val="00A30821"/>
    <w:rsid w:val="00A30BBD"/>
    <w:rsid w:val="00A3253A"/>
    <w:rsid w:val="00A33409"/>
    <w:rsid w:val="00A3424A"/>
    <w:rsid w:val="00A34BEA"/>
    <w:rsid w:val="00A35B9F"/>
    <w:rsid w:val="00A37208"/>
    <w:rsid w:val="00A44863"/>
    <w:rsid w:val="00A44A1A"/>
    <w:rsid w:val="00A45C86"/>
    <w:rsid w:val="00A47E18"/>
    <w:rsid w:val="00A505F8"/>
    <w:rsid w:val="00A51235"/>
    <w:rsid w:val="00A515DE"/>
    <w:rsid w:val="00A526F4"/>
    <w:rsid w:val="00A53787"/>
    <w:rsid w:val="00A53987"/>
    <w:rsid w:val="00A540E1"/>
    <w:rsid w:val="00A541BC"/>
    <w:rsid w:val="00A55B1A"/>
    <w:rsid w:val="00A55B8B"/>
    <w:rsid w:val="00A664C4"/>
    <w:rsid w:val="00A66FE4"/>
    <w:rsid w:val="00A71715"/>
    <w:rsid w:val="00A7242F"/>
    <w:rsid w:val="00A72AFD"/>
    <w:rsid w:val="00A7351A"/>
    <w:rsid w:val="00A735FA"/>
    <w:rsid w:val="00A74A96"/>
    <w:rsid w:val="00A763C9"/>
    <w:rsid w:val="00A766C6"/>
    <w:rsid w:val="00A77D9B"/>
    <w:rsid w:val="00A800C6"/>
    <w:rsid w:val="00A83760"/>
    <w:rsid w:val="00A83F2B"/>
    <w:rsid w:val="00A87831"/>
    <w:rsid w:val="00A90778"/>
    <w:rsid w:val="00A979BA"/>
    <w:rsid w:val="00AA1537"/>
    <w:rsid w:val="00AA2B7B"/>
    <w:rsid w:val="00AA34F0"/>
    <w:rsid w:val="00AA47DB"/>
    <w:rsid w:val="00AA4C13"/>
    <w:rsid w:val="00AA5B0C"/>
    <w:rsid w:val="00AA700C"/>
    <w:rsid w:val="00AB0551"/>
    <w:rsid w:val="00AB0DE5"/>
    <w:rsid w:val="00AB31AF"/>
    <w:rsid w:val="00AB434A"/>
    <w:rsid w:val="00AB7A8F"/>
    <w:rsid w:val="00AB7EEF"/>
    <w:rsid w:val="00AC0320"/>
    <w:rsid w:val="00AC0AEF"/>
    <w:rsid w:val="00AC49FC"/>
    <w:rsid w:val="00AC5F73"/>
    <w:rsid w:val="00AD1F41"/>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4FEB"/>
    <w:rsid w:val="00B47D84"/>
    <w:rsid w:val="00B54AA7"/>
    <w:rsid w:val="00B564A9"/>
    <w:rsid w:val="00B610F3"/>
    <w:rsid w:val="00B61A0F"/>
    <w:rsid w:val="00B61CC6"/>
    <w:rsid w:val="00B63545"/>
    <w:rsid w:val="00B6479A"/>
    <w:rsid w:val="00B65F92"/>
    <w:rsid w:val="00B70B45"/>
    <w:rsid w:val="00B7329A"/>
    <w:rsid w:val="00B7468B"/>
    <w:rsid w:val="00B755BE"/>
    <w:rsid w:val="00B77B08"/>
    <w:rsid w:val="00B81DAC"/>
    <w:rsid w:val="00B843B8"/>
    <w:rsid w:val="00B85409"/>
    <w:rsid w:val="00B86235"/>
    <w:rsid w:val="00B86321"/>
    <w:rsid w:val="00B86501"/>
    <w:rsid w:val="00B879AA"/>
    <w:rsid w:val="00B9214F"/>
    <w:rsid w:val="00B94455"/>
    <w:rsid w:val="00B948D6"/>
    <w:rsid w:val="00B94979"/>
    <w:rsid w:val="00B94F90"/>
    <w:rsid w:val="00B979CC"/>
    <w:rsid w:val="00BA1CD5"/>
    <w:rsid w:val="00BA2C36"/>
    <w:rsid w:val="00BA381B"/>
    <w:rsid w:val="00BB16DA"/>
    <w:rsid w:val="00BB21AF"/>
    <w:rsid w:val="00BB2F30"/>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D7CA6"/>
    <w:rsid w:val="00BE004B"/>
    <w:rsid w:val="00BE0E14"/>
    <w:rsid w:val="00BE19A1"/>
    <w:rsid w:val="00BE2ED4"/>
    <w:rsid w:val="00BE4451"/>
    <w:rsid w:val="00BE78B0"/>
    <w:rsid w:val="00BF08B9"/>
    <w:rsid w:val="00BF109A"/>
    <w:rsid w:val="00BF1304"/>
    <w:rsid w:val="00BF3A2F"/>
    <w:rsid w:val="00BF3FA0"/>
    <w:rsid w:val="00BF4C72"/>
    <w:rsid w:val="00BF54F0"/>
    <w:rsid w:val="00C008D1"/>
    <w:rsid w:val="00C01256"/>
    <w:rsid w:val="00C01B27"/>
    <w:rsid w:val="00C03D57"/>
    <w:rsid w:val="00C0456B"/>
    <w:rsid w:val="00C047C6"/>
    <w:rsid w:val="00C04CFB"/>
    <w:rsid w:val="00C04D0F"/>
    <w:rsid w:val="00C0539F"/>
    <w:rsid w:val="00C06535"/>
    <w:rsid w:val="00C0711C"/>
    <w:rsid w:val="00C1286A"/>
    <w:rsid w:val="00C17810"/>
    <w:rsid w:val="00C20D75"/>
    <w:rsid w:val="00C20F86"/>
    <w:rsid w:val="00C23D2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2393"/>
    <w:rsid w:val="00C62AF6"/>
    <w:rsid w:val="00C6312B"/>
    <w:rsid w:val="00C639DF"/>
    <w:rsid w:val="00C70051"/>
    <w:rsid w:val="00C706CD"/>
    <w:rsid w:val="00C7249A"/>
    <w:rsid w:val="00C76672"/>
    <w:rsid w:val="00C76B52"/>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97DD3"/>
    <w:rsid w:val="00CA3635"/>
    <w:rsid w:val="00CA4367"/>
    <w:rsid w:val="00CA6208"/>
    <w:rsid w:val="00CA7849"/>
    <w:rsid w:val="00CB3448"/>
    <w:rsid w:val="00CB3FAD"/>
    <w:rsid w:val="00CB48C2"/>
    <w:rsid w:val="00CB7BDA"/>
    <w:rsid w:val="00CC056A"/>
    <w:rsid w:val="00CC114E"/>
    <w:rsid w:val="00CC398F"/>
    <w:rsid w:val="00CC5BD4"/>
    <w:rsid w:val="00CD0895"/>
    <w:rsid w:val="00CD10C4"/>
    <w:rsid w:val="00CD1159"/>
    <w:rsid w:val="00CD1AA0"/>
    <w:rsid w:val="00CD4149"/>
    <w:rsid w:val="00CD59C1"/>
    <w:rsid w:val="00CD5AF9"/>
    <w:rsid w:val="00CE0A6A"/>
    <w:rsid w:val="00CE18A2"/>
    <w:rsid w:val="00CE1C35"/>
    <w:rsid w:val="00CE6624"/>
    <w:rsid w:val="00CE6B55"/>
    <w:rsid w:val="00CE6DF6"/>
    <w:rsid w:val="00CF0262"/>
    <w:rsid w:val="00CF05F5"/>
    <w:rsid w:val="00CF0A0B"/>
    <w:rsid w:val="00CF7F0E"/>
    <w:rsid w:val="00D01D1F"/>
    <w:rsid w:val="00D02315"/>
    <w:rsid w:val="00D06198"/>
    <w:rsid w:val="00D078A8"/>
    <w:rsid w:val="00D07FCF"/>
    <w:rsid w:val="00D135CC"/>
    <w:rsid w:val="00D15E81"/>
    <w:rsid w:val="00D16DA8"/>
    <w:rsid w:val="00D173CD"/>
    <w:rsid w:val="00D17401"/>
    <w:rsid w:val="00D23EC0"/>
    <w:rsid w:val="00D26367"/>
    <w:rsid w:val="00D2690C"/>
    <w:rsid w:val="00D2724B"/>
    <w:rsid w:val="00D27685"/>
    <w:rsid w:val="00D325BA"/>
    <w:rsid w:val="00D32631"/>
    <w:rsid w:val="00D32B33"/>
    <w:rsid w:val="00D34544"/>
    <w:rsid w:val="00D34E84"/>
    <w:rsid w:val="00D352F0"/>
    <w:rsid w:val="00D377F3"/>
    <w:rsid w:val="00D378A5"/>
    <w:rsid w:val="00D37AB5"/>
    <w:rsid w:val="00D37C7F"/>
    <w:rsid w:val="00D4288F"/>
    <w:rsid w:val="00D446D6"/>
    <w:rsid w:val="00D546A7"/>
    <w:rsid w:val="00D55342"/>
    <w:rsid w:val="00D55A9E"/>
    <w:rsid w:val="00D5662E"/>
    <w:rsid w:val="00D574DC"/>
    <w:rsid w:val="00D60228"/>
    <w:rsid w:val="00D604C2"/>
    <w:rsid w:val="00D61D2D"/>
    <w:rsid w:val="00D6535C"/>
    <w:rsid w:val="00D7028D"/>
    <w:rsid w:val="00D74EF9"/>
    <w:rsid w:val="00D768DA"/>
    <w:rsid w:val="00D809E2"/>
    <w:rsid w:val="00D80A3E"/>
    <w:rsid w:val="00D80B55"/>
    <w:rsid w:val="00D82C84"/>
    <w:rsid w:val="00D844B2"/>
    <w:rsid w:val="00D85538"/>
    <w:rsid w:val="00D85B30"/>
    <w:rsid w:val="00D869F2"/>
    <w:rsid w:val="00D90144"/>
    <w:rsid w:val="00D92487"/>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1E52"/>
    <w:rsid w:val="00DD3206"/>
    <w:rsid w:val="00DE060D"/>
    <w:rsid w:val="00DE089F"/>
    <w:rsid w:val="00DE2B2A"/>
    <w:rsid w:val="00DE44D3"/>
    <w:rsid w:val="00DE51A9"/>
    <w:rsid w:val="00DF57C9"/>
    <w:rsid w:val="00DF709E"/>
    <w:rsid w:val="00DF74F9"/>
    <w:rsid w:val="00E01874"/>
    <w:rsid w:val="00E02BF7"/>
    <w:rsid w:val="00E0586E"/>
    <w:rsid w:val="00E1491B"/>
    <w:rsid w:val="00E14F3E"/>
    <w:rsid w:val="00E14FBF"/>
    <w:rsid w:val="00E163A4"/>
    <w:rsid w:val="00E17FAA"/>
    <w:rsid w:val="00E21E60"/>
    <w:rsid w:val="00E225D6"/>
    <w:rsid w:val="00E22D02"/>
    <w:rsid w:val="00E231E9"/>
    <w:rsid w:val="00E247CB"/>
    <w:rsid w:val="00E24EA9"/>
    <w:rsid w:val="00E25511"/>
    <w:rsid w:val="00E26B2D"/>
    <w:rsid w:val="00E30AAC"/>
    <w:rsid w:val="00E32DF9"/>
    <w:rsid w:val="00E34285"/>
    <w:rsid w:val="00E373A1"/>
    <w:rsid w:val="00E41163"/>
    <w:rsid w:val="00E45242"/>
    <w:rsid w:val="00E47893"/>
    <w:rsid w:val="00E50AAE"/>
    <w:rsid w:val="00E51AE5"/>
    <w:rsid w:val="00E51C02"/>
    <w:rsid w:val="00E52162"/>
    <w:rsid w:val="00E52CD4"/>
    <w:rsid w:val="00E53B53"/>
    <w:rsid w:val="00E53E9B"/>
    <w:rsid w:val="00E55F64"/>
    <w:rsid w:val="00E56040"/>
    <w:rsid w:val="00E5612D"/>
    <w:rsid w:val="00E57739"/>
    <w:rsid w:val="00E60638"/>
    <w:rsid w:val="00E61784"/>
    <w:rsid w:val="00E640C5"/>
    <w:rsid w:val="00E64453"/>
    <w:rsid w:val="00E65D14"/>
    <w:rsid w:val="00E667F3"/>
    <w:rsid w:val="00E67235"/>
    <w:rsid w:val="00E70E12"/>
    <w:rsid w:val="00E7474E"/>
    <w:rsid w:val="00E75B2E"/>
    <w:rsid w:val="00E76BA2"/>
    <w:rsid w:val="00E804E1"/>
    <w:rsid w:val="00E80A2B"/>
    <w:rsid w:val="00E81153"/>
    <w:rsid w:val="00E82481"/>
    <w:rsid w:val="00E845F2"/>
    <w:rsid w:val="00E848EE"/>
    <w:rsid w:val="00E84DC2"/>
    <w:rsid w:val="00E86D18"/>
    <w:rsid w:val="00E9438D"/>
    <w:rsid w:val="00EA009D"/>
    <w:rsid w:val="00EA1AFD"/>
    <w:rsid w:val="00EA2170"/>
    <w:rsid w:val="00EA2779"/>
    <w:rsid w:val="00EA3B5B"/>
    <w:rsid w:val="00EA4788"/>
    <w:rsid w:val="00EA5555"/>
    <w:rsid w:val="00EA5A2C"/>
    <w:rsid w:val="00EA5E46"/>
    <w:rsid w:val="00EA60E5"/>
    <w:rsid w:val="00EA6D97"/>
    <w:rsid w:val="00EA7233"/>
    <w:rsid w:val="00EA7902"/>
    <w:rsid w:val="00EB0E4F"/>
    <w:rsid w:val="00EB0F89"/>
    <w:rsid w:val="00EB164C"/>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4CD4"/>
    <w:rsid w:val="00EE5E3C"/>
    <w:rsid w:val="00EE77E5"/>
    <w:rsid w:val="00EF100C"/>
    <w:rsid w:val="00EF416A"/>
    <w:rsid w:val="00EF51DD"/>
    <w:rsid w:val="00EF716C"/>
    <w:rsid w:val="00F00E52"/>
    <w:rsid w:val="00F020DB"/>
    <w:rsid w:val="00F03CD7"/>
    <w:rsid w:val="00F06588"/>
    <w:rsid w:val="00F07852"/>
    <w:rsid w:val="00F1015F"/>
    <w:rsid w:val="00F1037B"/>
    <w:rsid w:val="00F10722"/>
    <w:rsid w:val="00F11EB7"/>
    <w:rsid w:val="00F14757"/>
    <w:rsid w:val="00F154EB"/>
    <w:rsid w:val="00F15773"/>
    <w:rsid w:val="00F15861"/>
    <w:rsid w:val="00F1650D"/>
    <w:rsid w:val="00F20351"/>
    <w:rsid w:val="00F2094C"/>
    <w:rsid w:val="00F20CD5"/>
    <w:rsid w:val="00F21636"/>
    <w:rsid w:val="00F219E0"/>
    <w:rsid w:val="00F21BDC"/>
    <w:rsid w:val="00F21FA8"/>
    <w:rsid w:val="00F22225"/>
    <w:rsid w:val="00F26237"/>
    <w:rsid w:val="00F268BC"/>
    <w:rsid w:val="00F304C3"/>
    <w:rsid w:val="00F314BD"/>
    <w:rsid w:val="00F326A1"/>
    <w:rsid w:val="00F332D8"/>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03C5"/>
    <w:rsid w:val="00F6231E"/>
    <w:rsid w:val="00F6301A"/>
    <w:rsid w:val="00F715DE"/>
    <w:rsid w:val="00F71B64"/>
    <w:rsid w:val="00F7211E"/>
    <w:rsid w:val="00F74578"/>
    <w:rsid w:val="00F74FF4"/>
    <w:rsid w:val="00F758A0"/>
    <w:rsid w:val="00F7634C"/>
    <w:rsid w:val="00F76AE8"/>
    <w:rsid w:val="00F77728"/>
    <w:rsid w:val="00F8589F"/>
    <w:rsid w:val="00F859A7"/>
    <w:rsid w:val="00F85FF1"/>
    <w:rsid w:val="00F8649E"/>
    <w:rsid w:val="00F86CF6"/>
    <w:rsid w:val="00F87898"/>
    <w:rsid w:val="00F90527"/>
    <w:rsid w:val="00F91333"/>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A7960"/>
    <w:rsid w:val="00FB0FDF"/>
    <w:rsid w:val="00FB387F"/>
    <w:rsid w:val="00FB5E0E"/>
    <w:rsid w:val="00FB603A"/>
    <w:rsid w:val="00FB7852"/>
    <w:rsid w:val="00FC09B4"/>
    <w:rsid w:val="00FC2481"/>
    <w:rsid w:val="00FC38CD"/>
    <w:rsid w:val="00FC7347"/>
    <w:rsid w:val="00FD2BB2"/>
    <w:rsid w:val="00FD31B7"/>
    <w:rsid w:val="00FD51F7"/>
    <w:rsid w:val="00FD5E96"/>
    <w:rsid w:val="00FE04DA"/>
    <w:rsid w:val="00FE2172"/>
    <w:rsid w:val="00FE2777"/>
    <w:rsid w:val="00FE3CCD"/>
    <w:rsid w:val="00FE7666"/>
    <w:rsid w:val="00FE78A3"/>
    <w:rsid w:val="00FF0B8F"/>
    <w:rsid w:val="00FF50EE"/>
    <w:rsid w:val="00FF5EF6"/>
    <w:rsid w:val="00FF5F1B"/>
    <w:rsid w:val="00FF63B6"/>
    <w:rsid w:val="00FF712D"/>
    <w:rsid w:val="00FF77EA"/>
    <w:rsid w:val="05F51883"/>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21026B76"/>
    <w:rsid w:val="2213611E"/>
    <w:rsid w:val="22F01249"/>
    <w:rsid w:val="2332554E"/>
    <w:rsid w:val="23D9610A"/>
    <w:rsid w:val="24BB15A2"/>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1D4416"/>
    <w:rsid w:val="546D4478"/>
    <w:rsid w:val="565C45F6"/>
    <w:rsid w:val="56645A39"/>
    <w:rsid w:val="5A0424DA"/>
    <w:rsid w:val="5C1E63DB"/>
    <w:rsid w:val="5C2D68A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487158"/>
    <w:rsid w:val="70D83112"/>
    <w:rsid w:val="71BB46C9"/>
    <w:rsid w:val="71D757DA"/>
    <w:rsid w:val="7231305C"/>
    <w:rsid w:val="724B38C0"/>
    <w:rsid w:val="73081E35"/>
    <w:rsid w:val="73D3007B"/>
    <w:rsid w:val="74A013B9"/>
    <w:rsid w:val="74FB17FB"/>
    <w:rsid w:val="75E4471B"/>
    <w:rsid w:val="76446CBC"/>
    <w:rsid w:val="76462FC7"/>
    <w:rsid w:val="76C22131"/>
    <w:rsid w:val="77862AE9"/>
    <w:rsid w:val="781A460E"/>
    <w:rsid w:val="79B10ED9"/>
    <w:rsid w:val="79CF0D31"/>
    <w:rsid w:val="7AFF53FF"/>
    <w:rsid w:val="7BF00E78"/>
    <w:rsid w:val="7C3C5105"/>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4">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102"/>
      <w:ind w:left="112"/>
    </w:pPr>
    <w:rPr>
      <w:sz w:val="28"/>
      <w:szCs w:val="28"/>
    </w:rPr>
  </w:style>
  <w:style w:type="paragraph" w:styleId="5">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6">
    <w:name w:val="annotation text"/>
    <w:basedOn w:val="1"/>
    <w:link w:val="25"/>
    <w:qFormat/>
    <w:uiPriority w:val="0"/>
    <w:pPr>
      <w:jc w:val="left"/>
    </w:p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6"/>
    <w:next w:val="6"/>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Char"/>
    <w:link w:val="6"/>
    <w:qFormat/>
    <w:uiPriority w:val="0"/>
    <w:rPr>
      <w:kern w:val="2"/>
      <w:sz w:val="21"/>
      <w:szCs w:val="24"/>
    </w:rPr>
  </w:style>
  <w:style w:type="character" w:customStyle="1" w:styleId="26">
    <w:name w:val="批注主题 Char"/>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Char"/>
    <w:link w:val="3"/>
    <w:qFormat/>
    <w:uiPriority w:val="0"/>
    <w:rPr>
      <w:rFonts w:ascii="Cambria" w:hAnsi="Cambria" w:eastAsia="宋体" w:cs="Times New Roman"/>
      <w:b/>
      <w:bCs/>
      <w:kern w:val="32"/>
      <w:sz w:val="32"/>
      <w:szCs w:val="32"/>
      <w:lang w:val="en-US"/>
    </w:rPr>
  </w:style>
  <w:style w:type="character" w:customStyle="1" w:styleId="29">
    <w:name w:val="页脚 Char"/>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9D2326-2F31-49AF-A057-D1EA36691708}">
  <ds:schemaRefs/>
</ds:datastoreItem>
</file>

<file path=docProps/app.xml><?xml version="1.0" encoding="utf-8"?>
<Properties xmlns="http://schemas.openxmlformats.org/officeDocument/2006/extended-properties" xmlns:vt="http://schemas.openxmlformats.org/officeDocument/2006/docPropsVTypes">
  <Template>Normal</Template>
  <Pages>8</Pages>
  <Words>820</Words>
  <Characters>4678</Characters>
  <Lines>38</Lines>
  <Paragraphs>10</Paragraphs>
  <TotalTime>1</TotalTime>
  <ScaleCrop>false</ScaleCrop>
  <LinksUpToDate>false</LinksUpToDate>
  <CharactersWithSpaces>5488</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2023-03-16T09:00:00Z</dcterms:created>
  <cp:lastPrinted>1900-12-31T16:00:00Z</cp:lastPrinted>
  <dcterms:modified xsi:type="dcterms:W3CDTF">2023-08-25T07:45:39Z</dcterms:modified>
  <dc:title>_</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8E11CC294528424CB9F642A6C9694E7D_12</vt:lpwstr>
  </property>
</Properties>
</file>