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eastAsia="黑体"/>
          <w:b/>
          <w:sz w:val="32"/>
        </w:rPr>
      </w:pPr>
    </w:p>
    <w:p>
      <w:pPr>
        <w:snapToGrid w:val="0"/>
        <w:spacing w:line="360" w:lineRule="auto"/>
        <w:jc w:val="center"/>
        <w:rPr>
          <w:rFonts w:eastAsia="黑体"/>
          <w:b/>
          <w:sz w:val="32"/>
        </w:rPr>
      </w:pPr>
    </w:p>
    <w:p>
      <w:pPr>
        <w:snapToGrid w:val="0"/>
        <w:spacing w:line="360" w:lineRule="auto"/>
        <w:jc w:val="center"/>
        <w:rPr>
          <w:rFonts w:eastAsia="黑体"/>
          <w:b/>
          <w:sz w:val="32"/>
        </w:rPr>
      </w:pPr>
    </w:p>
    <w:p>
      <w:pPr>
        <w:snapToGrid w:val="0"/>
        <w:spacing w:line="360" w:lineRule="auto"/>
        <w:jc w:val="center"/>
        <w:rPr>
          <w:rFonts w:eastAsia="黑体"/>
          <w:b/>
          <w:sz w:val="44"/>
        </w:rPr>
      </w:pPr>
      <w:r>
        <w:rPr>
          <w:rFonts w:hint="eastAsia" w:eastAsia="黑体"/>
          <w:b/>
          <w:sz w:val="44"/>
        </w:rPr>
        <w:t>江苏宁沪高速公路股份有限公司</w:t>
      </w:r>
    </w:p>
    <w:p>
      <w:pPr>
        <w:snapToGrid w:val="0"/>
        <w:spacing w:line="360" w:lineRule="auto"/>
        <w:jc w:val="center"/>
        <w:rPr>
          <w:rFonts w:eastAsia="黑体"/>
          <w:b/>
          <w:sz w:val="44"/>
        </w:rPr>
      </w:pPr>
      <w:r>
        <w:rPr>
          <w:rFonts w:hint="eastAsia" w:eastAsia="黑体"/>
          <w:b/>
          <w:sz w:val="44"/>
        </w:rPr>
        <w:t>股东大会议事规则</w:t>
      </w:r>
    </w:p>
    <w:p>
      <w:pPr>
        <w:snapToGrid w:val="0"/>
        <w:spacing w:line="360" w:lineRule="auto"/>
        <w:jc w:val="center"/>
        <w:rPr>
          <w:rFonts w:eastAsia="黑体"/>
          <w:b/>
          <w:sz w:val="32"/>
        </w:rPr>
      </w:pPr>
    </w:p>
    <w:p>
      <w:pPr>
        <w:snapToGrid w:val="0"/>
        <w:spacing w:line="360" w:lineRule="auto"/>
        <w:jc w:val="center"/>
        <w:rPr>
          <w:rFonts w:eastAsia="黑体"/>
          <w:b/>
          <w:sz w:val="32"/>
        </w:rPr>
      </w:pPr>
    </w:p>
    <w:p>
      <w:pPr>
        <w:snapToGrid w:val="0"/>
        <w:spacing w:line="360" w:lineRule="auto"/>
        <w:jc w:val="center"/>
        <w:rPr>
          <w:rFonts w:eastAsia="黑体"/>
          <w:b/>
          <w:sz w:val="32"/>
        </w:rPr>
      </w:pPr>
    </w:p>
    <w:p>
      <w:pPr>
        <w:snapToGrid w:val="0"/>
        <w:spacing w:line="360" w:lineRule="auto"/>
        <w:jc w:val="center"/>
        <w:rPr>
          <w:rFonts w:eastAsia="黑体"/>
          <w:b/>
          <w:sz w:val="32"/>
        </w:rPr>
      </w:pPr>
    </w:p>
    <w:p>
      <w:pPr>
        <w:snapToGrid w:val="0"/>
        <w:spacing w:line="360" w:lineRule="auto"/>
        <w:jc w:val="center"/>
        <w:rPr>
          <w:rFonts w:eastAsia="黑体"/>
          <w:b/>
          <w:sz w:val="32"/>
        </w:rPr>
      </w:pPr>
    </w:p>
    <w:p>
      <w:pPr>
        <w:snapToGrid w:val="0"/>
        <w:spacing w:line="360" w:lineRule="auto"/>
        <w:jc w:val="center"/>
        <w:rPr>
          <w:rFonts w:eastAsia="黑体"/>
          <w:b/>
          <w:sz w:val="32"/>
        </w:rPr>
      </w:pPr>
    </w:p>
    <w:p>
      <w:pPr>
        <w:snapToGrid w:val="0"/>
        <w:spacing w:line="360" w:lineRule="auto"/>
        <w:jc w:val="center"/>
        <w:rPr>
          <w:rFonts w:eastAsia="黑体"/>
          <w:b/>
          <w:sz w:val="32"/>
        </w:rPr>
      </w:pPr>
    </w:p>
    <w:p>
      <w:pPr>
        <w:snapToGrid w:val="0"/>
        <w:spacing w:line="360" w:lineRule="auto"/>
        <w:jc w:val="center"/>
        <w:rPr>
          <w:rFonts w:eastAsia="黑体"/>
          <w:b/>
          <w:sz w:val="32"/>
        </w:rPr>
      </w:pPr>
    </w:p>
    <w:p>
      <w:pPr>
        <w:snapToGrid w:val="0"/>
        <w:spacing w:line="360" w:lineRule="auto"/>
        <w:jc w:val="center"/>
        <w:rPr>
          <w:rFonts w:ascii="黑体" w:eastAsia="黑体"/>
          <w:b/>
          <w:sz w:val="32"/>
        </w:rPr>
      </w:pPr>
      <w:r>
        <w:rPr>
          <w:rFonts w:hint="eastAsia"/>
          <w:b/>
          <w:sz w:val="28"/>
        </w:rPr>
        <w:t>（二零二三年六月二十日股东大会审议通过）</w:t>
      </w:r>
      <w:r>
        <w:rPr>
          <w:b/>
          <w:sz w:val="28"/>
        </w:rPr>
        <w:br w:type="page"/>
      </w:r>
      <w:r>
        <w:rPr>
          <w:rFonts w:hint="eastAsia" w:ascii="黑体" w:eastAsia="黑体"/>
          <w:b/>
          <w:sz w:val="32"/>
        </w:rPr>
        <w:t>股东大会议事规则</w:t>
      </w:r>
    </w:p>
    <w:p>
      <w:pPr>
        <w:snapToGrid w:val="0"/>
        <w:spacing w:line="360" w:lineRule="auto"/>
        <w:jc w:val="center"/>
        <w:rPr>
          <w:rFonts w:ascii="黑体" w:eastAsia="黑体"/>
          <w:b/>
          <w:sz w:val="32"/>
        </w:rPr>
      </w:pPr>
      <w:r>
        <w:rPr>
          <w:rFonts w:hint="eastAsia" w:ascii="黑体" w:eastAsia="黑体"/>
          <w:b/>
          <w:sz w:val="32"/>
        </w:rPr>
        <w:t>目录</w:t>
      </w:r>
    </w:p>
    <w:p>
      <w:pPr>
        <w:snapToGrid w:val="0"/>
        <w:spacing w:line="360" w:lineRule="auto"/>
        <w:rPr>
          <w:rFonts w:ascii="宋体"/>
          <w:sz w:val="24"/>
        </w:rPr>
      </w:pPr>
    </w:p>
    <w:p>
      <w:pPr>
        <w:numPr>
          <w:ilvl w:val="0"/>
          <w:numId w:val="1"/>
        </w:numPr>
        <w:snapToGrid w:val="0"/>
        <w:spacing w:line="360" w:lineRule="auto"/>
        <w:rPr>
          <w:rFonts w:ascii="黑体" w:eastAsia="黑体"/>
          <w:b/>
          <w:sz w:val="24"/>
        </w:rPr>
      </w:pPr>
      <w:r>
        <w:rPr>
          <w:rFonts w:hint="eastAsia" w:ascii="黑体" w:eastAsia="黑体"/>
          <w:b/>
          <w:sz w:val="24"/>
        </w:rPr>
        <w:t>总则</w:t>
      </w:r>
    </w:p>
    <w:p>
      <w:pPr>
        <w:numPr>
          <w:ilvl w:val="0"/>
          <w:numId w:val="1"/>
        </w:numPr>
        <w:snapToGrid w:val="0"/>
        <w:spacing w:line="360" w:lineRule="auto"/>
        <w:rPr>
          <w:rFonts w:ascii="黑体" w:eastAsia="黑体"/>
          <w:b/>
          <w:sz w:val="24"/>
        </w:rPr>
      </w:pPr>
      <w:r>
        <w:rPr>
          <w:rFonts w:hint="eastAsia" w:ascii="黑体" w:eastAsia="黑体"/>
          <w:b/>
          <w:sz w:val="24"/>
        </w:rPr>
        <w:t>股东的权利和义务</w:t>
      </w:r>
    </w:p>
    <w:p>
      <w:pPr>
        <w:numPr>
          <w:ilvl w:val="0"/>
          <w:numId w:val="2"/>
        </w:numPr>
        <w:snapToGrid w:val="0"/>
        <w:spacing w:line="360" w:lineRule="auto"/>
        <w:rPr>
          <w:rFonts w:ascii="宋体"/>
          <w:sz w:val="24"/>
        </w:rPr>
      </w:pPr>
      <w:r>
        <w:rPr>
          <w:rFonts w:hint="eastAsia" w:ascii="宋体"/>
          <w:sz w:val="24"/>
        </w:rPr>
        <w:t>普通股股东的权利和义务</w:t>
      </w:r>
    </w:p>
    <w:p>
      <w:pPr>
        <w:numPr>
          <w:ilvl w:val="0"/>
          <w:numId w:val="2"/>
        </w:numPr>
        <w:snapToGrid w:val="0"/>
        <w:spacing w:line="360" w:lineRule="auto"/>
        <w:rPr>
          <w:rFonts w:ascii="宋体"/>
          <w:sz w:val="24"/>
        </w:rPr>
      </w:pPr>
      <w:r>
        <w:rPr>
          <w:rFonts w:hint="eastAsia" w:ascii="宋体"/>
          <w:sz w:val="24"/>
        </w:rPr>
        <w:t>控股股东对其他股东的义务</w:t>
      </w:r>
    </w:p>
    <w:p>
      <w:pPr>
        <w:numPr>
          <w:ilvl w:val="0"/>
          <w:numId w:val="1"/>
        </w:numPr>
        <w:snapToGrid w:val="0"/>
        <w:spacing w:line="360" w:lineRule="auto"/>
        <w:rPr>
          <w:rFonts w:ascii="黑体" w:eastAsia="黑体"/>
          <w:b/>
          <w:sz w:val="24"/>
        </w:rPr>
      </w:pPr>
      <w:r>
        <w:rPr>
          <w:rFonts w:hint="eastAsia" w:ascii="黑体" w:eastAsia="黑体"/>
          <w:b/>
          <w:sz w:val="24"/>
        </w:rPr>
        <w:t>股东大会的职权</w:t>
      </w:r>
    </w:p>
    <w:p>
      <w:pPr>
        <w:numPr>
          <w:ilvl w:val="0"/>
          <w:numId w:val="1"/>
        </w:numPr>
        <w:snapToGrid w:val="0"/>
        <w:spacing w:line="360" w:lineRule="auto"/>
        <w:rPr>
          <w:rFonts w:ascii="黑体" w:eastAsia="黑体"/>
          <w:b/>
          <w:sz w:val="24"/>
        </w:rPr>
      </w:pPr>
      <w:r>
        <w:rPr>
          <w:rFonts w:hint="eastAsia" w:ascii="黑体" w:eastAsia="黑体"/>
          <w:b/>
          <w:sz w:val="24"/>
        </w:rPr>
        <w:t>股东大会</w:t>
      </w:r>
    </w:p>
    <w:p>
      <w:pPr>
        <w:numPr>
          <w:ilvl w:val="0"/>
          <w:numId w:val="3"/>
        </w:numPr>
        <w:snapToGrid w:val="0"/>
        <w:spacing w:line="360" w:lineRule="auto"/>
        <w:rPr>
          <w:rFonts w:ascii="宋体"/>
          <w:sz w:val="24"/>
        </w:rPr>
      </w:pPr>
      <w:r>
        <w:rPr>
          <w:rFonts w:hint="eastAsia" w:ascii="宋体"/>
          <w:sz w:val="24"/>
        </w:rPr>
        <w:t>会议召开</w:t>
      </w:r>
    </w:p>
    <w:p>
      <w:pPr>
        <w:numPr>
          <w:ilvl w:val="0"/>
          <w:numId w:val="3"/>
        </w:numPr>
        <w:snapToGrid w:val="0"/>
        <w:spacing w:line="360" w:lineRule="auto"/>
        <w:rPr>
          <w:rFonts w:ascii="宋体"/>
          <w:sz w:val="24"/>
        </w:rPr>
      </w:pPr>
      <w:r>
        <w:rPr>
          <w:rFonts w:hint="eastAsia" w:ascii="宋体"/>
          <w:sz w:val="24"/>
        </w:rPr>
        <w:t>会议召集与通知</w:t>
      </w:r>
    </w:p>
    <w:p>
      <w:pPr>
        <w:numPr>
          <w:ilvl w:val="0"/>
          <w:numId w:val="3"/>
        </w:numPr>
        <w:snapToGrid w:val="0"/>
        <w:spacing w:line="360" w:lineRule="auto"/>
        <w:rPr>
          <w:rFonts w:ascii="宋体"/>
          <w:sz w:val="24"/>
        </w:rPr>
      </w:pPr>
      <w:r>
        <w:rPr>
          <w:rFonts w:hint="eastAsia" w:ascii="宋体"/>
          <w:sz w:val="24"/>
        </w:rPr>
        <w:t>股东委托代理人</w:t>
      </w:r>
    </w:p>
    <w:p>
      <w:pPr>
        <w:numPr>
          <w:ilvl w:val="0"/>
          <w:numId w:val="3"/>
        </w:numPr>
        <w:snapToGrid w:val="0"/>
        <w:spacing w:line="360" w:lineRule="auto"/>
        <w:rPr>
          <w:rFonts w:ascii="宋体"/>
          <w:sz w:val="24"/>
        </w:rPr>
      </w:pPr>
      <w:r>
        <w:rPr>
          <w:rFonts w:hint="eastAsia" w:ascii="宋体"/>
          <w:sz w:val="24"/>
        </w:rPr>
        <w:t>会议主持人</w:t>
      </w:r>
    </w:p>
    <w:p>
      <w:pPr>
        <w:numPr>
          <w:ilvl w:val="0"/>
          <w:numId w:val="3"/>
        </w:numPr>
        <w:snapToGrid w:val="0"/>
        <w:spacing w:line="360" w:lineRule="auto"/>
        <w:rPr>
          <w:rFonts w:ascii="宋体"/>
          <w:sz w:val="24"/>
        </w:rPr>
      </w:pPr>
      <w:r>
        <w:rPr>
          <w:rFonts w:hint="eastAsia" w:ascii="宋体"/>
          <w:sz w:val="24"/>
        </w:rPr>
        <w:t>会议提案</w:t>
      </w:r>
    </w:p>
    <w:p>
      <w:pPr>
        <w:numPr>
          <w:ilvl w:val="0"/>
          <w:numId w:val="3"/>
        </w:numPr>
        <w:snapToGrid w:val="0"/>
        <w:spacing w:line="360" w:lineRule="auto"/>
        <w:rPr>
          <w:rFonts w:ascii="宋体"/>
          <w:sz w:val="24"/>
        </w:rPr>
      </w:pPr>
      <w:r>
        <w:rPr>
          <w:rFonts w:hint="eastAsia" w:ascii="宋体"/>
          <w:sz w:val="24"/>
        </w:rPr>
        <w:t>会议表决</w:t>
      </w:r>
    </w:p>
    <w:p>
      <w:pPr>
        <w:numPr>
          <w:ilvl w:val="0"/>
          <w:numId w:val="3"/>
        </w:numPr>
        <w:snapToGrid w:val="0"/>
        <w:spacing w:line="360" w:lineRule="auto"/>
        <w:rPr>
          <w:rFonts w:ascii="宋体"/>
          <w:sz w:val="24"/>
        </w:rPr>
      </w:pPr>
      <w:r>
        <w:rPr>
          <w:rFonts w:hint="eastAsia" w:ascii="宋体"/>
          <w:sz w:val="24"/>
        </w:rPr>
        <w:t>会议决议</w:t>
      </w:r>
    </w:p>
    <w:p>
      <w:pPr>
        <w:numPr>
          <w:ilvl w:val="0"/>
          <w:numId w:val="3"/>
        </w:numPr>
        <w:snapToGrid w:val="0"/>
        <w:spacing w:line="360" w:lineRule="auto"/>
        <w:rPr>
          <w:rFonts w:ascii="宋体"/>
          <w:sz w:val="24"/>
        </w:rPr>
      </w:pPr>
      <w:r>
        <w:rPr>
          <w:rFonts w:hint="eastAsia" w:ascii="宋体"/>
          <w:sz w:val="24"/>
        </w:rPr>
        <w:t>会后事项</w:t>
      </w:r>
    </w:p>
    <w:p>
      <w:pPr>
        <w:numPr>
          <w:ilvl w:val="0"/>
          <w:numId w:val="1"/>
        </w:numPr>
        <w:snapToGrid w:val="0"/>
        <w:spacing w:line="360" w:lineRule="auto"/>
        <w:rPr>
          <w:rFonts w:ascii="黑体" w:eastAsia="黑体"/>
          <w:b/>
          <w:sz w:val="24"/>
        </w:rPr>
      </w:pPr>
      <w:r>
        <w:rPr>
          <w:rFonts w:hint="eastAsia" w:ascii="黑体" w:eastAsia="黑体"/>
          <w:b/>
          <w:sz w:val="24"/>
        </w:rPr>
        <w:t>独立董事、股东或监事会提议召开临时股东大会</w:t>
      </w:r>
    </w:p>
    <w:p>
      <w:pPr>
        <w:numPr>
          <w:ilvl w:val="0"/>
          <w:numId w:val="1"/>
        </w:numPr>
        <w:snapToGrid w:val="0"/>
        <w:spacing w:line="360" w:lineRule="auto"/>
        <w:rPr>
          <w:rFonts w:ascii="黑体" w:eastAsia="黑体"/>
          <w:b/>
          <w:sz w:val="24"/>
        </w:rPr>
      </w:pPr>
      <w:r>
        <w:rPr>
          <w:rFonts w:hint="eastAsia" w:ascii="黑体" w:eastAsia="黑体"/>
          <w:b/>
          <w:sz w:val="24"/>
        </w:rPr>
        <w:t>类别股东大会</w:t>
      </w:r>
    </w:p>
    <w:p>
      <w:pPr>
        <w:numPr>
          <w:ilvl w:val="0"/>
          <w:numId w:val="1"/>
        </w:numPr>
        <w:snapToGrid w:val="0"/>
        <w:spacing w:line="360" w:lineRule="auto"/>
        <w:rPr>
          <w:rFonts w:ascii="黑体" w:eastAsia="黑体"/>
          <w:b/>
          <w:sz w:val="24"/>
        </w:rPr>
      </w:pPr>
      <w:r>
        <w:rPr>
          <w:rFonts w:hint="eastAsia" w:ascii="黑体" w:eastAsia="黑体"/>
          <w:b/>
          <w:sz w:val="24"/>
        </w:rPr>
        <w:t>附则</w:t>
      </w:r>
    </w:p>
    <w:p>
      <w:pPr>
        <w:snapToGrid w:val="0"/>
        <w:spacing w:line="360" w:lineRule="auto"/>
        <w:jc w:val="center"/>
        <w:rPr>
          <w:rFonts w:ascii="黑体" w:eastAsia="黑体"/>
          <w:b/>
          <w:sz w:val="30"/>
        </w:rPr>
      </w:pPr>
      <w:r>
        <w:rPr>
          <w:rFonts w:ascii="宋体"/>
          <w:sz w:val="24"/>
        </w:rPr>
        <w:br w:type="page"/>
      </w:r>
      <w:r>
        <w:rPr>
          <w:rFonts w:hint="eastAsia" w:ascii="黑体" w:eastAsia="黑体"/>
          <w:b/>
          <w:sz w:val="30"/>
        </w:rPr>
        <w:t>江苏宁沪高速公路股份有限公司</w:t>
      </w:r>
    </w:p>
    <w:p>
      <w:pPr>
        <w:snapToGrid w:val="0"/>
        <w:spacing w:line="360" w:lineRule="auto"/>
        <w:jc w:val="center"/>
        <w:rPr>
          <w:rFonts w:ascii="黑体" w:eastAsia="黑体"/>
          <w:b/>
          <w:sz w:val="30"/>
        </w:rPr>
      </w:pPr>
      <w:r>
        <w:rPr>
          <w:rFonts w:hint="eastAsia" w:ascii="黑体" w:eastAsia="黑体"/>
          <w:b/>
          <w:sz w:val="30"/>
        </w:rPr>
        <w:t>股东大会议事规则</w:t>
      </w:r>
    </w:p>
    <w:p>
      <w:pPr>
        <w:snapToGrid w:val="0"/>
        <w:spacing w:line="360" w:lineRule="auto"/>
        <w:jc w:val="center"/>
        <w:rPr>
          <w:rFonts w:ascii="黑体" w:eastAsia="黑体"/>
          <w:b/>
          <w:sz w:val="30"/>
        </w:rPr>
      </w:pPr>
    </w:p>
    <w:p>
      <w:pPr>
        <w:snapToGrid w:val="0"/>
        <w:spacing w:line="360" w:lineRule="auto"/>
        <w:jc w:val="center"/>
        <w:rPr>
          <w:rFonts w:ascii="黑体" w:eastAsia="黑体"/>
          <w:b/>
          <w:sz w:val="28"/>
        </w:rPr>
      </w:pPr>
      <w:r>
        <w:rPr>
          <w:rFonts w:hint="eastAsia" w:ascii="黑体" w:eastAsia="黑体"/>
          <w:b/>
          <w:sz w:val="28"/>
        </w:rPr>
        <w:t>第一章    总则</w:t>
      </w:r>
    </w:p>
    <w:p>
      <w:pPr>
        <w:snapToGrid w:val="0"/>
        <w:spacing w:line="360" w:lineRule="auto"/>
        <w:rPr>
          <w:rFonts w:ascii="宋体"/>
          <w:sz w:val="24"/>
        </w:rPr>
      </w:pPr>
    </w:p>
    <w:p>
      <w:pPr>
        <w:snapToGrid w:val="0"/>
        <w:spacing w:line="360" w:lineRule="auto"/>
        <w:rPr>
          <w:rFonts w:ascii="宋体"/>
          <w:sz w:val="24"/>
        </w:rPr>
      </w:pPr>
      <w:r>
        <w:rPr>
          <w:rFonts w:hint="eastAsia" w:ascii="宋体"/>
          <w:sz w:val="24"/>
        </w:rPr>
        <w:t>1.1  为充分行使股东大会权力，保障股东的利益，规范股东大会的议事及决策的程序和方式，特制定本规则。</w:t>
      </w:r>
    </w:p>
    <w:p>
      <w:pPr>
        <w:snapToGrid w:val="0"/>
        <w:spacing w:line="360" w:lineRule="auto"/>
        <w:rPr>
          <w:rFonts w:ascii="宋体"/>
          <w:sz w:val="24"/>
        </w:rPr>
      </w:pPr>
    </w:p>
    <w:p>
      <w:pPr>
        <w:snapToGrid w:val="0"/>
        <w:spacing w:line="360" w:lineRule="auto"/>
        <w:rPr>
          <w:rFonts w:ascii="宋体"/>
          <w:sz w:val="24"/>
        </w:rPr>
      </w:pPr>
      <w:r>
        <w:rPr>
          <w:rFonts w:hint="eastAsia" w:ascii="宋体"/>
          <w:sz w:val="24"/>
        </w:rPr>
        <w:t>1.2  本规则依据《中华人民共和国公司法》（“《公司法》”）、《中华人民共和国证券法》、《上市公司股东大会规则》、公司股票的上市交易所上市规则、江苏宁沪高速公路股份有限公司（“公司”）章程及其他相关法律法规而制定。</w:t>
      </w:r>
    </w:p>
    <w:p>
      <w:pPr>
        <w:snapToGrid w:val="0"/>
        <w:spacing w:line="360" w:lineRule="auto"/>
        <w:rPr>
          <w:rFonts w:ascii="宋体"/>
          <w:sz w:val="24"/>
        </w:rPr>
      </w:pPr>
    </w:p>
    <w:p>
      <w:pPr>
        <w:snapToGrid w:val="0"/>
        <w:spacing w:line="360" w:lineRule="auto"/>
        <w:rPr>
          <w:rFonts w:ascii="宋体"/>
          <w:sz w:val="24"/>
        </w:rPr>
      </w:pPr>
      <w:r>
        <w:rPr>
          <w:rFonts w:hint="eastAsia" w:ascii="宋体"/>
          <w:sz w:val="24"/>
        </w:rPr>
        <w:t>1.3  公司由股东组成股东大会。股东大会是公司的最高权力机构，依照公司章程和本条例行使职权。公司全体董事应当勤勉尽责，确保股东大会正常召开和依法行使职权。</w:t>
      </w:r>
    </w:p>
    <w:p>
      <w:pPr>
        <w:snapToGrid w:val="0"/>
        <w:spacing w:line="360" w:lineRule="auto"/>
        <w:rPr>
          <w:rFonts w:ascii="宋体"/>
          <w:sz w:val="24"/>
        </w:rPr>
      </w:pPr>
    </w:p>
    <w:p>
      <w:pPr>
        <w:snapToGrid w:val="0"/>
        <w:spacing w:line="360" w:lineRule="auto"/>
        <w:rPr>
          <w:rFonts w:ascii="宋体"/>
          <w:sz w:val="24"/>
        </w:rPr>
      </w:pPr>
    </w:p>
    <w:p>
      <w:pPr>
        <w:numPr>
          <w:ilvl w:val="0"/>
          <w:numId w:val="4"/>
        </w:numPr>
        <w:snapToGrid w:val="0"/>
        <w:spacing w:line="360" w:lineRule="auto"/>
        <w:jc w:val="center"/>
        <w:rPr>
          <w:rFonts w:ascii="黑体" w:eastAsia="黑体"/>
          <w:b/>
          <w:sz w:val="28"/>
        </w:rPr>
      </w:pPr>
      <w:r>
        <w:rPr>
          <w:rFonts w:hint="eastAsia" w:ascii="黑体" w:eastAsia="黑体"/>
          <w:b/>
          <w:sz w:val="28"/>
        </w:rPr>
        <w:t xml:space="preserve">    股东的权利和义务</w:t>
      </w:r>
    </w:p>
    <w:p>
      <w:pPr>
        <w:snapToGrid w:val="0"/>
        <w:spacing w:line="360" w:lineRule="auto"/>
        <w:jc w:val="center"/>
        <w:rPr>
          <w:rFonts w:ascii="黑体" w:eastAsia="黑体"/>
          <w:b/>
          <w:sz w:val="24"/>
        </w:rPr>
      </w:pPr>
      <w:r>
        <w:rPr>
          <w:rFonts w:hint="eastAsia" w:ascii="黑体" w:eastAsia="黑体"/>
          <w:b/>
          <w:sz w:val="24"/>
        </w:rPr>
        <w:t>第一节    普通股股东的权利和义务</w:t>
      </w:r>
    </w:p>
    <w:p>
      <w:pPr>
        <w:tabs>
          <w:tab w:val="left" w:pos="0"/>
        </w:tabs>
        <w:snapToGrid w:val="0"/>
        <w:spacing w:line="360" w:lineRule="auto"/>
        <w:rPr>
          <w:rFonts w:ascii="宋体"/>
          <w:sz w:val="24"/>
        </w:rPr>
      </w:pPr>
    </w:p>
    <w:p>
      <w:pPr>
        <w:tabs>
          <w:tab w:val="left" w:pos="0"/>
        </w:tabs>
        <w:snapToGrid w:val="0"/>
        <w:spacing w:line="360" w:lineRule="auto"/>
        <w:rPr>
          <w:rFonts w:ascii="宋体"/>
          <w:sz w:val="24"/>
        </w:rPr>
      </w:pPr>
      <w:r>
        <w:rPr>
          <w:rFonts w:hint="eastAsia" w:ascii="宋体"/>
          <w:sz w:val="24"/>
        </w:rPr>
        <w:t>2.1.1  公司股东为依法持有公司股份并且其姓名（名称）登记在股东名册上的人士。</w:t>
      </w:r>
    </w:p>
    <w:p>
      <w:pPr>
        <w:tabs>
          <w:tab w:val="left" w:pos="0"/>
        </w:tabs>
        <w:snapToGrid w:val="0"/>
        <w:spacing w:line="360" w:lineRule="auto"/>
        <w:rPr>
          <w:rFonts w:ascii="宋体"/>
          <w:sz w:val="24"/>
        </w:rPr>
      </w:pPr>
      <w:r>
        <w:rPr>
          <w:rFonts w:ascii="宋体"/>
          <w:sz w:val="24"/>
        </w:rPr>
        <w:t xml:space="preserve">    </w:t>
      </w:r>
      <w:r>
        <w:rPr>
          <w:rFonts w:hint="eastAsia" w:ascii="宋体"/>
          <w:sz w:val="24"/>
        </w:rPr>
        <w:t>股东按其持有股份的种类和份额享有权利，承担义务；持有同一种类股份的股东，享有同等权利及承担同种义务。</w:t>
      </w:r>
    </w:p>
    <w:p>
      <w:pPr>
        <w:tabs>
          <w:tab w:val="left" w:pos="0"/>
        </w:tabs>
        <w:snapToGrid w:val="0"/>
        <w:spacing w:line="360" w:lineRule="auto"/>
        <w:rPr>
          <w:rFonts w:ascii="宋体"/>
          <w:sz w:val="24"/>
        </w:rPr>
      </w:pPr>
    </w:p>
    <w:p>
      <w:pPr>
        <w:tabs>
          <w:tab w:val="left" w:pos="0"/>
        </w:tabs>
        <w:snapToGrid w:val="0"/>
        <w:spacing w:line="360" w:lineRule="auto"/>
        <w:rPr>
          <w:rFonts w:ascii="宋体"/>
          <w:sz w:val="24"/>
        </w:rPr>
      </w:pPr>
      <w:r>
        <w:rPr>
          <w:rFonts w:hint="eastAsia" w:ascii="宋体"/>
          <w:sz w:val="24"/>
        </w:rPr>
        <w:t>2.1.2</w:t>
      </w:r>
      <w:r>
        <w:rPr>
          <w:rFonts w:ascii="宋体"/>
          <w:sz w:val="24"/>
        </w:rPr>
        <w:t xml:space="preserve">  </w:t>
      </w:r>
      <w:r>
        <w:rPr>
          <w:rFonts w:hint="eastAsia" w:ascii="宋体"/>
          <w:sz w:val="24"/>
        </w:rPr>
        <w:t>当两位或以上的人士登记为任何股份之联名股东，他们应被视为有关股份的共同共有人，必须受以下条款限制：</w:t>
      </w:r>
    </w:p>
    <w:p>
      <w:pPr>
        <w:numPr>
          <w:ilvl w:val="0"/>
          <w:numId w:val="5"/>
        </w:numPr>
        <w:tabs>
          <w:tab w:val="left" w:pos="0"/>
        </w:tabs>
        <w:snapToGrid w:val="0"/>
        <w:spacing w:line="360" w:lineRule="auto"/>
        <w:rPr>
          <w:rFonts w:ascii="宋体"/>
          <w:sz w:val="24"/>
        </w:rPr>
      </w:pPr>
      <w:r>
        <w:rPr>
          <w:rFonts w:hint="eastAsia" w:ascii="宋体"/>
          <w:sz w:val="24"/>
        </w:rPr>
        <w:t>公司不必为超过四名人士登记为任何股份的联名股东；</w:t>
      </w:r>
    </w:p>
    <w:p>
      <w:pPr>
        <w:numPr>
          <w:ilvl w:val="0"/>
          <w:numId w:val="5"/>
        </w:numPr>
        <w:tabs>
          <w:tab w:val="left" w:pos="0"/>
        </w:tabs>
        <w:snapToGrid w:val="0"/>
        <w:spacing w:line="360" w:lineRule="auto"/>
        <w:rPr>
          <w:rFonts w:ascii="宋体"/>
          <w:sz w:val="24"/>
        </w:rPr>
      </w:pPr>
      <w:r>
        <w:rPr>
          <w:rFonts w:hint="eastAsia" w:ascii="宋体"/>
          <w:sz w:val="24"/>
        </w:rPr>
        <w:t>任何股份的所有联名股东须共同地及个别地承担支付有关股份所应付的所有金额的责任；</w:t>
      </w:r>
    </w:p>
    <w:p>
      <w:pPr>
        <w:numPr>
          <w:ilvl w:val="0"/>
          <w:numId w:val="5"/>
        </w:numPr>
        <w:tabs>
          <w:tab w:val="left" w:pos="0"/>
        </w:tabs>
        <w:snapToGrid w:val="0"/>
        <w:spacing w:line="360" w:lineRule="auto"/>
        <w:rPr>
          <w:rFonts w:ascii="宋体"/>
          <w:sz w:val="24"/>
        </w:rPr>
      </w:pPr>
      <w:r>
        <w:rPr>
          <w:rFonts w:hint="eastAsia" w:ascii="宋体"/>
          <w:sz w:val="24"/>
        </w:rPr>
        <w:t>如联名股东其中之一逝世，只有联名股东中的其他尚存人士应被公司视为对有关股份拥有所有权的人，但董事会有权就有关股东名册资料的更改而要求提供其认为恰当之有关股东的死亡证明文件；及</w:t>
      </w:r>
    </w:p>
    <w:p>
      <w:pPr>
        <w:numPr>
          <w:ilvl w:val="0"/>
          <w:numId w:val="5"/>
        </w:numPr>
        <w:tabs>
          <w:tab w:val="left" w:pos="0"/>
        </w:tabs>
        <w:snapToGrid w:val="0"/>
        <w:spacing w:line="360" w:lineRule="auto"/>
        <w:rPr>
          <w:rFonts w:ascii="宋体"/>
          <w:sz w:val="24"/>
        </w:rPr>
      </w:pPr>
      <w:r>
        <w:rPr>
          <w:rFonts w:hint="eastAsia" w:ascii="宋体"/>
          <w:sz w:val="24"/>
        </w:rPr>
        <w:t>就任何股份之联名股东，只有在股东名册上排名首位之联名股东有权从公司收取有关股份的股票，收取公司的通知，在公司股东大会中出席或行使有关股份的全部表决权，而任何送达上述人士的通知应被视为已送达有关股份的所有联名股东。</w:t>
      </w:r>
      <w:r>
        <w:rPr>
          <w:rFonts w:ascii="宋体"/>
          <w:sz w:val="24"/>
        </w:rPr>
        <w:t xml:space="preserve">  </w:t>
      </w:r>
    </w:p>
    <w:p>
      <w:pPr>
        <w:tabs>
          <w:tab w:val="left" w:pos="0"/>
        </w:tabs>
        <w:snapToGrid w:val="0"/>
        <w:spacing w:line="360" w:lineRule="auto"/>
        <w:rPr>
          <w:rFonts w:ascii="宋体"/>
          <w:sz w:val="24"/>
        </w:rPr>
      </w:pPr>
    </w:p>
    <w:p>
      <w:pPr>
        <w:tabs>
          <w:tab w:val="left" w:pos="0"/>
        </w:tabs>
        <w:snapToGrid w:val="0"/>
        <w:spacing w:line="360" w:lineRule="auto"/>
        <w:rPr>
          <w:rFonts w:ascii="宋体"/>
          <w:sz w:val="24"/>
        </w:rPr>
      </w:pPr>
      <w:r>
        <w:rPr>
          <w:rFonts w:hint="eastAsia" w:ascii="宋体"/>
          <w:sz w:val="24"/>
        </w:rPr>
        <w:t>2.1.3</w:t>
      </w:r>
      <w:r>
        <w:rPr>
          <w:rFonts w:ascii="宋体"/>
          <w:sz w:val="24"/>
        </w:rPr>
        <w:tab/>
      </w:r>
      <w:r>
        <w:rPr>
          <w:rFonts w:hint="eastAsia" w:ascii="宋体"/>
          <w:sz w:val="24"/>
        </w:rPr>
        <w:t>公司普通股股东享有下列权利：</w:t>
      </w:r>
    </w:p>
    <w:p>
      <w:pPr>
        <w:snapToGrid w:val="0"/>
        <w:spacing w:line="360" w:lineRule="auto"/>
        <w:ind w:firstLine="480" w:firstLineChars="200"/>
        <w:rPr>
          <w:rFonts w:ascii="宋体" w:hAnsi="宋体"/>
          <w:sz w:val="24"/>
          <w:szCs w:val="24"/>
        </w:rPr>
      </w:pPr>
      <w:r>
        <w:rPr>
          <w:rFonts w:ascii="宋体" w:hAnsi="宋体"/>
          <w:sz w:val="24"/>
          <w:szCs w:val="24"/>
        </w:rPr>
        <w:t>（一）依照其所持有的股份份额获得股利和其他形式的利益分配；</w:t>
      </w:r>
    </w:p>
    <w:p>
      <w:pPr>
        <w:snapToGrid w:val="0"/>
        <w:spacing w:line="360" w:lineRule="auto"/>
        <w:ind w:firstLine="480" w:firstLineChars="200"/>
        <w:rPr>
          <w:rFonts w:ascii="宋体" w:hAnsi="宋体"/>
          <w:sz w:val="24"/>
          <w:szCs w:val="24"/>
        </w:rPr>
      </w:pPr>
      <w:bookmarkStart w:id="0" w:name="No153_Z4J1T33K1X2"/>
      <w:bookmarkEnd w:id="0"/>
      <w:r>
        <w:rPr>
          <w:rFonts w:ascii="宋体" w:hAnsi="宋体"/>
          <w:sz w:val="24"/>
          <w:szCs w:val="24"/>
        </w:rPr>
        <w:t>（二）依法请求、召集、主持、参加或者委派股东代理人参加股东大会，并行使相应的表决权；</w:t>
      </w:r>
    </w:p>
    <w:p>
      <w:pPr>
        <w:snapToGrid w:val="0"/>
        <w:spacing w:line="360" w:lineRule="auto"/>
        <w:ind w:firstLine="480" w:firstLineChars="200"/>
        <w:rPr>
          <w:rFonts w:ascii="宋体" w:hAnsi="宋体"/>
          <w:sz w:val="24"/>
          <w:szCs w:val="24"/>
        </w:rPr>
      </w:pPr>
      <w:bookmarkStart w:id="1" w:name="No154_Z4J1T33K1X3"/>
      <w:bookmarkEnd w:id="1"/>
      <w:r>
        <w:rPr>
          <w:rFonts w:ascii="宋体" w:hAnsi="宋体"/>
          <w:sz w:val="24"/>
          <w:szCs w:val="24"/>
        </w:rPr>
        <w:t>（三）对公司的经营进行监督，提出建议或者质询；</w:t>
      </w:r>
    </w:p>
    <w:p>
      <w:pPr>
        <w:snapToGrid w:val="0"/>
        <w:spacing w:line="360" w:lineRule="auto"/>
        <w:ind w:firstLine="480" w:firstLineChars="200"/>
        <w:rPr>
          <w:rFonts w:ascii="宋体" w:hAnsi="宋体"/>
          <w:sz w:val="24"/>
          <w:szCs w:val="24"/>
        </w:rPr>
      </w:pPr>
      <w:bookmarkStart w:id="2" w:name="No155_Z4J1T33K1X4"/>
      <w:bookmarkEnd w:id="2"/>
      <w:r>
        <w:rPr>
          <w:rFonts w:ascii="宋体" w:hAnsi="宋体"/>
          <w:sz w:val="24"/>
          <w:szCs w:val="24"/>
        </w:rPr>
        <w:t>（四）依照法律、行政法规及本章程的规定转让、赠与或质押其所持有的股份；</w:t>
      </w:r>
    </w:p>
    <w:p>
      <w:pPr>
        <w:snapToGrid w:val="0"/>
        <w:spacing w:line="360" w:lineRule="auto"/>
        <w:ind w:firstLine="480" w:firstLineChars="200"/>
        <w:rPr>
          <w:rFonts w:ascii="宋体" w:hAnsi="宋体"/>
          <w:sz w:val="24"/>
          <w:szCs w:val="24"/>
        </w:rPr>
      </w:pPr>
      <w:bookmarkStart w:id="3" w:name="No156_Z4J1T33K1X5"/>
      <w:bookmarkEnd w:id="3"/>
      <w:r>
        <w:rPr>
          <w:rFonts w:ascii="宋体" w:hAnsi="宋体"/>
          <w:sz w:val="24"/>
          <w:szCs w:val="24"/>
        </w:rPr>
        <w:t>（五）查阅本章程、股东名册、公司债券存根、股东大会会议记录、董事会会议决议、监事会会议决议、财务会计报告；</w:t>
      </w:r>
    </w:p>
    <w:p>
      <w:pPr>
        <w:snapToGrid w:val="0"/>
        <w:spacing w:line="360" w:lineRule="auto"/>
        <w:ind w:firstLine="480" w:firstLineChars="200"/>
        <w:rPr>
          <w:rFonts w:ascii="宋体" w:hAnsi="宋体"/>
          <w:sz w:val="24"/>
          <w:szCs w:val="24"/>
        </w:rPr>
      </w:pPr>
      <w:bookmarkStart w:id="4" w:name="No157_Z4J1T33K1X6"/>
      <w:bookmarkEnd w:id="4"/>
      <w:r>
        <w:rPr>
          <w:rFonts w:ascii="宋体" w:hAnsi="宋体"/>
          <w:sz w:val="24"/>
          <w:szCs w:val="24"/>
        </w:rPr>
        <w:t>（六）公司终止或者清算时，按其所持有的股份份额参加公司剩余财产的分配；</w:t>
      </w:r>
    </w:p>
    <w:p>
      <w:pPr>
        <w:snapToGrid w:val="0"/>
        <w:spacing w:line="360" w:lineRule="auto"/>
        <w:ind w:firstLine="480" w:firstLineChars="200"/>
        <w:rPr>
          <w:rFonts w:ascii="宋体" w:hAnsi="宋体"/>
          <w:sz w:val="24"/>
          <w:szCs w:val="24"/>
        </w:rPr>
      </w:pPr>
      <w:bookmarkStart w:id="5" w:name="No158_Z4J1T33K1X7"/>
      <w:bookmarkEnd w:id="5"/>
      <w:r>
        <w:rPr>
          <w:rFonts w:ascii="宋体" w:hAnsi="宋体"/>
          <w:sz w:val="24"/>
          <w:szCs w:val="24"/>
        </w:rPr>
        <w:t>（七）对股东大会作出的公司合并、分立决议持异议的股东，要求公司收购其股份；</w:t>
      </w:r>
    </w:p>
    <w:p>
      <w:pPr>
        <w:snapToGrid w:val="0"/>
        <w:spacing w:line="360" w:lineRule="auto"/>
        <w:ind w:firstLine="480" w:firstLineChars="200"/>
        <w:rPr>
          <w:rFonts w:ascii="宋体" w:hAnsi="宋体"/>
          <w:sz w:val="24"/>
          <w:szCs w:val="24"/>
        </w:rPr>
      </w:pPr>
      <w:bookmarkStart w:id="6" w:name="No159_Z4J1T33K1X8"/>
      <w:bookmarkEnd w:id="6"/>
      <w:r>
        <w:rPr>
          <w:rFonts w:ascii="宋体" w:hAnsi="宋体"/>
          <w:sz w:val="24"/>
          <w:szCs w:val="24"/>
        </w:rPr>
        <w:t>（八）法律、行政法规、部门规章或本章程规定的其他权利。</w:t>
      </w:r>
    </w:p>
    <w:p>
      <w:pPr>
        <w:tabs>
          <w:tab w:val="left" w:pos="0"/>
        </w:tabs>
        <w:snapToGrid w:val="0"/>
        <w:spacing w:line="360" w:lineRule="auto"/>
        <w:ind w:firstLine="480" w:firstLineChars="200"/>
        <w:rPr>
          <w:rFonts w:ascii="宋体"/>
          <w:sz w:val="24"/>
        </w:rPr>
      </w:pPr>
      <w:r>
        <w:rPr>
          <w:rFonts w:hint="eastAsia" w:ascii="宋体" w:hAnsi="宋体"/>
          <w:sz w:val="24"/>
          <w:szCs w:val="24"/>
        </w:rPr>
        <w:t>股东提出查阅前述有关信息或者索取资料的，应当向公司提供证明其持有公司股份的种类以及持股数量的书面文件，公司经核实股东身份后按照股东的要求予以提供</w:t>
      </w:r>
      <w:r>
        <w:rPr>
          <w:rFonts w:hint="eastAsia" w:ascii="宋体"/>
          <w:sz w:val="24"/>
        </w:rPr>
        <w:t>。</w:t>
      </w:r>
    </w:p>
    <w:p>
      <w:pPr>
        <w:tabs>
          <w:tab w:val="left" w:pos="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2.1.4</w:t>
      </w:r>
      <w:r>
        <w:rPr>
          <w:rFonts w:ascii="宋体"/>
          <w:sz w:val="24"/>
        </w:rPr>
        <w:t xml:space="preserve">  </w:t>
      </w:r>
      <w:r>
        <w:rPr>
          <w:rFonts w:hint="eastAsia" w:ascii="宋体"/>
          <w:sz w:val="24"/>
        </w:rPr>
        <w:t>公司普通股股东承担下列义务：</w:t>
      </w:r>
    </w:p>
    <w:p>
      <w:pPr>
        <w:numPr>
          <w:ilvl w:val="0"/>
          <w:numId w:val="6"/>
        </w:numPr>
        <w:tabs>
          <w:tab w:val="left" w:pos="0"/>
          <w:tab w:val="left" w:pos="2400"/>
        </w:tabs>
        <w:snapToGrid w:val="0"/>
        <w:spacing w:line="360" w:lineRule="auto"/>
        <w:rPr>
          <w:rFonts w:ascii="宋体"/>
          <w:sz w:val="24"/>
        </w:rPr>
      </w:pPr>
      <w:r>
        <w:rPr>
          <w:rFonts w:hint="eastAsia" w:ascii="宋体"/>
          <w:sz w:val="24"/>
        </w:rPr>
        <w:t>遵守</w:t>
      </w:r>
      <w:r>
        <w:rPr>
          <w:rFonts w:hint="eastAsia" w:ascii="宋体" w:hAnsi="宋体"/>
          <w:sz w:val="24"/>
          <w:szCs w:val="24"/>
        </w:rPr>
        <w:t>法律、行政法规和</w:t>
      </w:r>
      <w:r>
        <w:rPr>
          <w:rFonts w:hint="eastAsia" w:ascii="宋体"/>
          <w:sz w:val="24"/>
        </w:rPr>
        <w:t>公司章程；</w:t>
      </w:r>
    </w:p>
    <w:p>
      <w:pPr>
        <w:numPr>
          <w:ilvl w:val="0"/>
          <w:numId w:val="6"/>
        </w:numPr>
        <w:tabs>
          <w:tab w:val="left" w:pos="0"/>
          <w:tab w:val="left" w:pos="2400"/>
        </w:tabs>
        <w:snapToGrid w:val="0"/>
        <w:spacing w:line="360" w:lineRule="auto"/>
        <w:rPr>
          <w:rFonts w:ascii="宋体"/>
          <w:sz w:val="24"/>
        </w:rPr>
      </w:pPr>
      <w:r>
        <w:rPr>
          <w:rFonts w:hint="eastAsia" w:ascii="宋体"/>
          <w:sz w:val="24"/>
        </w:rPr>
        <w:t>依其所认购股份和入股方式缴纳股金；</w:t>
      </w:r>
    </w:p>
    <w:p>
      <w:pPr>
        <w:numPr>
          <w:ilvl w:val="12"/>
          <w:numId w:val="0"/>
        </w:numPr>
        <w:snapToGrid w:val="0"/>
        <w:spacing w:line="360" w:lineRule="auto"/>
        <w:ind w:firstLine="480" w:firstLineChars="200"/>
        <w:rPr>
          <w:rFonts w:ascii="宋体" w:hAnsi="宋体"/>
          <w:sz w:val="24"/>
          <w:szCs w:val="24"/>
        </w:rPr>
      </w:pPr>
      <w:r>
        <w:rPr>
          <w:rFonts w:hint="eastAsia" w:ascii="宋体" w:hAnsi="宋体"/>
          <w:sz w:val="24"/>
          <w:szCs w:val="24"/>
        </w:rPr>
        <w:t>（三）除法律、法规规定的情形外，不得退股；</w:t>
      </w:r>
    </w:p>
    <w:p>
      <w:pPr>
        <w:numPr>
          <w:ilvl w:val="12"/>
          <w:numId w:val="0"/>
        </w:numPr>
        <w:snapToGrid w:val="0"/>
        <w:spacing w:line="360" w:lineRule="auto"/>
        <w:ind w:firstLine="480" w:firstLineChars="200"/>
        <w:rPr>
          <w:rFonts w:ascii="宋体" w:hAnsi="宋体"/>
          <w:sz w:val="24"/>
          <w:szCs w:val="24"/>
        </w:rPr>
      </w:pPr>
      <w:r>
        <w:rPr>
          <w:rFonts w:hint="eastAsia" w:ascii="宋体" w:hAnsi="宋体"/>
          <w:sz w:val="24"/>
          <w:szCs w:val="24"/>
        </w:rPr>
        <w:t>（四）不得滥用股东权利损害公司或者其他股东的利益，不得滥用公司法人独立地位和股东有限责任损害公司债权人的利益；</w:t>
      </w:r>
    </w:p>
    <w:p>
      <w:pPr>
        <w:numPr>
          <w:ilvl w:val="12"/>
          <w:numId w:val="0"/>
        </w:numPr>
        <w:snapToGrid w:val="0"/>
        <w:spacing w:line="360" w:lineRule="auto"/>
        <w:ind w:firstLine="480" w:firstLineChars="200"/>
        <w:rPr>
          <w:rFonts w:ascii="宋体"/>
          <w:sz w:val="24"/>
        </w:rPr>
      </w:pPr>
      <w:r>
        <w:rPr>
          <w:rFonts w:hint="eastAsia" w:ascii="宋体"/>
          <w:sz w:val="24"/>
        </w:rPr>
        <w:t>（五）法律、行政法规及公司章程规定应当承担的其他义务。</w:t>
      </w:r>
    </w:p>
    <w:p>
      <w:pPr>
        <w:tabs>
          <w:tab w:val="left" w:pos="0"/>
          <w:tab w:val="left" w:pos="2400"/>
        </w:tabs>
        <w:snapToGrid w:val="0"/>
        <w:spacing w:line="360" w:lineRule="auto"/>
        <w:ind w:firstLine="480"/>
        <w:rPr>
          <w:rFonts w:ascii="宋体"/>
          <w:sz w:val="24"/>
        </w:rPr>
      </w:pPr>
      <w:r>
        <w:rPr>
          <w:rFonts w:hint="eastAsia" w:ascii="宋体"/>
          <w:sz w:val="24"/>
        </w:rPr>
        <w:t>股东除了股份的认购人在认购时所同意的条件外，不承担其后追加任何股本的责任。</w:t>
      </w:r>
    </w:p>
    <w:p>
      <w:pPr>
        <w:tabs>
          <w:tab w:val="left" w:pos="0"/>
          <w:tab w:val="left" w:pos="2400"/>
        </w:tabs>
        <w:snapToGrid w:val="0"/>
        <w:spacing w:line="360" w:lineRule="auto"/>
        <w:ind w:firstLine="480"/>
        <w:rPr>
          <w:rFonts w:ascii="宋体"/>
          <w:sz w:val="24"/>
        </w:rPr>
      </w:pPr>
      <w:r>
        <w:rPr>
          <w:rFonts w:hint="eastAsia" w:ascii="宋体"/>
          <w:sz w:val="24"/>
        </w:rPr>
        <w:t>公司股东滥用股东权利给公司或者其他股东造成损失的，应当依法承担赔偿责任。</w:t>
      </w:r>
    </w:p>
    <w:p>
      <w:pPr>
        <w:tabs>
          <w:tab w:val="left" w:pos="0"/>
          <w:tab w:val="left" w:pos="2400"/>
        </w:tabs>
        <w:snapToGrid w:val="0"/>
        <w:spacing w:line="360" w:lineRule="auto"/>
        <w:ind w:firstLine="480"/>
        <w:rPr>
          <w:rFonts w:ascii="宋体"/>
          <w:sz w:val="24"/>
        </w:rPr>
      </w:pPr>
      <w:r>
        <w:rPr>
          <w:rFonts w:hint="eastAsia" w:ascii="宋体"/>
          <w:sz w:val="24"/>
        </w:rPr>
        <w:t>公司股东滥用公司法人独立地位和股东有限责任，逃避债务，严重损害公司债权人利益的，应当对公司债务承担连带责任。</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jc w:val="center"/>
        <w:rPr>
          <w:rFonts w:ascii="黑体" w:eastAsia="黑体"/>
          <w:sz w:val="24"/>
        </w:rPr>
      </w:pPr>
      <w:r>
        <w:rPr>
          <w:rFonts w:ascii="黑体" w:eastAsia="黑体"/>
          <w:b/>
          <w:sz w:val="24"/>
        </w:rPr>
        <w:t xml:space="preserve">     </w:t>
      </w:r>
      <w:r>
        <w:rPr>
          <w:rFonts w:hint="eastAsia" w:ascii="黑体" w:eastAsia="黑体"/>
          <w:b/>
          <w:sz w:val="24"/>
        </w:rPr>
        <w:t>第二节</w:t>
      </w:r>
      <w:r>
        <w:rPr>
          <w:rFonts w:ascii="黑体" w:eastAsia="黑体"/>
          <w:b/>
          <w:sz w:val="24"/>
        </w:rPr>
        <w:t xml:space="preserve">   </w:t>
      </w:r>
      <w:r>
        <w:rPr>
          <w:rFonts w:hint="eastAsia" w:ascii="黑体" w:eastAsia="黑体"/>
          <w:b/>
          <w:sz w:val="24"/>
        </w:rPr>
        <w:t>控股股东对其他股东的义务</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2.2.1</w:t>
      </w:r>
      <w:r>
        <w:rPr>
          <w:rFonts w:ascii="宋体"/>
          <w:sz w:val="24"/>
        </w:rPr>
        <w:t xml:space="preserve">  </w:t>
      </w:r>
      <w:r>
        <w:rPr>
          <w:rFonts w:hint="eastAsia" w:ascii="宋体"/>
          <w:sz w:val="24"/>
        </w:rPr>
        <w:t>除法律、行政法规或公司股份上市的证券交易所的上市规则所要求的义务外，控股股东在行使其股东的权力时，不得因行使其表决权在下列问题上作出有损于全体或部分股东的利益的决定：</w:t>
      </w:r>
    </w:p>
    <w:p>
      <w:pPr>
        <w:numPr>
          <w:ilvl w:val="0"/>
          <w:numId w:val="7"/>
        </w:numPr>
        <w:tabs>
          <w:tab w:val="left" w:pos="0"/>
          <w:tab w:val="left" w:pos="2400"/>
        </w:tabs>
        <w:snapToGrid w:val="0"/>
        <w:spacing w:line="360" w:lineRule="auto"/>
        <w:rPr>
          <w:rFonts w:ascii="宋体"/>
          <w:sz w:val="24"/>
        </w:rPr>
      </w:pPr>
      <w:r>
        <w:rPr>
          <w:rFonts w:hint="eastAsia" w:ascii="宋体"/>
          <w:sz w:val="24"/>
        </w:rPr>
        <w:t>免除董事、监事须真诚地以公司最大利益为出发点行事的责任；</w:t>
      </w:r>
    </w:p>
    <w:p>
      <w:pPr>
        <w:numPr>
          <w:ilvl w:val="0"/>
          <w:numId w:val="7"/>
        </w:numPr>
        <w:tabs>
          <w:tab w:val="left" w:pos="0"/>
          <w:tab w:val="left" w:pos="2400"/>
        </w:tabs>
        <w:snapToGrid w:val="0"/>
        <w:spacing w:line="360" w:lineRule="auto"/>
        <w:rPr>
          <w:rFonts w:ascii="宋体"/>
          <w:sz w:val="24"/>
        </w:rPr>
      </w:pPr>
      <w:r>
        <w:rPr>
          <w:rFonts w:hint="eastAsia" w:ascii="宋体"/>
          <w:sz w:val="24"/>
        </w:rPr>
        <w:t>批准董事、监事（为自己或者他人利益）以任何形式剥夺公司财产，包括（但不限于）任何对公司有利的机会；</w:t>
      </w:r>
    </w:p>
    <w:p>
      <w:pPr>
        <w:numPr>
          <w:ilvl w:val="0"/>
          <w:numId w:val="7"/>
        </w:numPr>
        <w:tabs>
          <w:tab w:val="left" w:pos="0"/>
          <w:tab w:val="left" w:pos="2400"/>
        </w:tabs>
        <w:snapToGrid w:val="0"/>
        <w:spacing w:line="360" w:lineRule="auto"/>
        <w:rPr>
          <w:rFonts w:ascii="宋体"/>
          <w:sz w:val="24"/>
        </w:rPr>
      </w:pPr>
      <w:r>
        <w:rPr>
          <w:rFonts w:hint="eastAsia" w:ascii="宋体"/>
          <w:sz w:val="24"/>
        </w:rPr>
        <w:t>批准董事、监事（为自己或者他人利益）剥夺其他股东的个人权益，包括（但不限于）任何分配权、表决权，但不包括根据本章程提交股东大会通过的公司改组。</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2.2.2</w:t>
      </w:r>
      <w:r>
        <w:rPr>
          <w:rFonts w:ascii="宋体"/>
          <w:sz w:val="24"/>
        </w:rPr>
        <w:t xml:space="preserve">  </w:t>
      </w:r>
      <w:r>
        <w:rPr>
          <w:rFonts w:hint="eastAsia" w:ascii="宋体"/>
          <w:sz w:val="24"/>
        </w:rPr>
        <w:t>前条所称控股股东</w:t>
      </w:r>
      <w:r>
        <w:rPr>
          <w:rFonts w:hint="eastAsia" w:ascii="宋体" w:hAnsi="宋体"/>
          <w:sz w:val="24"/>
          <w:szCs w:val="24"/>
        </w:rPr>
        <w:t>，是指</w:t>
      </w:r>
      <w:r>
        <w:rPr>
          <w:rFonts w:ascii="宋体" w:hAnsi="宋体"/>
          <w:sz w:val="24"/>
          <w:szCs w:val="24"/>
        </w:rPr>
        <w:t>其持有的普通股（含表决权恢复的优先股）占公司股本总额百分之五十以上的股东；持有股份的比例虽然不足百分之五十，但依其持有的股份所享有的表决权已足以对股东大会的决议产生重大影响的股东。</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p>
    <w:p>
      <w:pPr>
        <w:tabs>
          <w:tab w:val="left" w:pos="0"/>
        </w:tabs>
        <w:snapToGrid w:val="0"/>
        <w:spacing w:line="360" w:lineRule="auto"/>
        <w:jc w:val="center"/>
        <w:rPr>
          <w:rFonts w:ascii="黑体" w:eastAsia="黑体"/>
          <w:b/>
          <w:sz w:val="28"/>
        </w:rPr>
      </w:pPr>
    </w:p>
    <w:p>
      <w:pPr>
        <w:tabs>
          <w:tab w:val="left" w:pos="0"/>
        </w:tabs>
        <w:snapToGrid w:val="0"/>
        <w:spacing w:line="360" w:lineRule="auto"/>
        <w:jc w:val="center"/>
        <w:rPr>
          <w:rFonts w:ascii="黑体" w:eastAsia="黑体"/>
          <w:sz w:val="28"/>
        </w:rPr>
      </w:pPr>
      <w:r>
        <w:rPr>
          <w:rFonts w:hint="eastAsia" w:ascii="黑体" w:eastAsia="黑体"/>
          <w:b/>
          <w:sz w:val="28"/>
        </w:rPr>
        <w:t>第三章    股东大会的职权</w:t>
      </w:r>
    </w:p>
    <w:p>
      <w:pPr>
        <w:tabs>
          <w:tab w:val="left" w:pos="0"/>
        </w:tabs>
        <w:snapToGrid w:val="0"/>
        <w:spacing w:line="360" w:lineRule="auto"/>
        <w:jc w:val="center"/>
        <w:rPr>
          <w:rFonts w:ascii="宋体"/>
          <w:sz w:val="24"/>
        </w:rPr>
      </w:pPr>
    </w:p>
    <w:p>
      <w:pPr>
        <w:tabs>
          <w:tab w:val="left" w:pos="0"/>
          <w:tab w:val="left" w:pos="2400"/>
        </w:tabs>
        <w:snapToGrid w:val="0"/>
        <w:spacing w:line="360" w:lineRule="auto"/>
        <w:rPr>
          <w:rFonts w:ascii="宋体"/>
          <w:sz w:val="24"/>
        </w:rPr>
      </w:pPr>
      <w:r>
        <w:rPr>
          <w:rFonts w:hint="eastAsia" w:ascii="宋体"/>
          <w:sz w:val="24"/>
        </w:rPr>
        <w:t>3.1</w:t>
      </w:r>
      <w:r>
        <w:rPr>
          <w:rFonts w:ascii="宋体"/>
          <w:sz w:val="24"/>
        </w:rPr>
        <w:t xml:space="preserve">  </w:t>
      </w:r>
      <w:r>
        <w:rPr>
          <w:rFonts w:hint="eastAsia" w:ascii="宋体"/>
          <w:sz w:val="24"/>
        </w:rPr>
        <w:t>股东大会是公司的权力机构，依法行使职权。</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3.2</w:t>
      </w:r>
      <w:r>
        <w:rPr>
          <w:rFonts w:ascii="宋体"/>
          <w:sz w:val="24"/>
        </w:rPr>
        <w:t xml:space="preserve">  </w:t>
      </w:r>
      <w:r>
        <w:rPr>
          <w:rFonts w:hint="eastAsia" w:ascii="宋体"/>
          <w:sz w:val="24"/>
        </w:rPr>
        <w:t>股东大会行使下列职权：</w:t>
      </w:r>
    </w:p>
    <w:p>
      <w:pPr>
        <w:numPr>
          <w:ilvl w:val="0"/>
          <w:numId w:val="8"/>
        </w:numPr>
        <w:tabs>
          <w:tab w:val="left" w:pos="0"/>
          <w:tab w:val="left" w:pos="2400"/>
        </w:tabs>
        <w:snapToGrid w:val="0"/>
        <w:spacing w:line="360" w:lineRule="auto"/>
        <w:rPr>
          <w:rFonts w:ascii="宋体"/>
          <w:sz w:val="24"/>
        </w:rPr>
      </w:pPr>
      <w:r>
        <w:rPr>
          <w:rFonts w:hint="eastAsia" w:ascii="宋体"/>
          <w:sz w:val="24"/>
        </w:rPr>
        <w:t>决定公司的发展目标和战略，制定公司的经营方针和投资计划；</w:t>
      </w:r>
    </w:p>
    <w:p>
      <w:pPr>
        <w:tabs>
          <w:tab w:val="left" w:pos="0"/>
          <w:tab w:val="left" w:pos="2400"/>
        </w:tabs>
        <w:snapToGrid w:val="0"/>
        <w:spacing w:line="360" w:lineRule="auto"/>
        <w:rPr>
          <w:sz w:val="24"/>
        </w:rPr>
      </w:pPr>
      <w:r>
        <w:rPr>
          <w:rFonts w:hint="eastAsia" w:ascii="宋体"/>
          <w:sz w:val="24"/>
        </w:rPr>
        <w:t>1、资产的收购或出售：</w:t>
      </w:r>
      <w:r>
        <w:rPr>
          <w:rFonts w:hint="eastAsia"/>
          <w:sz w:val="24"/>
        </w:rPr>
        <w:t>如收购、出售资产的资产总额占公司最近一期经审计总资产值的30%以上的或收购、出售资产的交易金额（包括所承担费用、债务）占公司最近一期经审计的总资产值的30%以上的或被收购、出售资产相关的净利润或亏损绝对值的30%以上，以及未被上市交易所豁免召开股东大会的关联交易；</w:t>
      </w:r>
    </w:p>
    <w:p>
      <w:pPr>
        <w:tabs>
          <w:tab w:val="left" w:pos="0"/>
          <w:tab w:val="left" w:pos="2400"/>
        </w:tabs>
        <w:snapToGrid w:val="0"/>
        <w:spacing w:line="360" w:lineRule="auto"/>
        <w:rPr>
          <w:rFonts w:ascii="宋体"/>
          <w:sz w:val="24"/>
        </w:rPr>
      </w:pPr>
      <w:r>
        <w:rPr>
          <w:rFonts w:hint="eastAsia" w:ascii="宋体"/>
          <w:sz w:val="24"/>
        </w:rPr>
        <w:t>2、关联交易：公司与关联人达成的关联交易总额高于上市公司最近经审计净资产值的</w:t>
      </w:r>
      <w:r>
        <w:rPr>
          <w:rFonts w:ascii="宋体"/>
          <w:sz w:val="24"/>
        </w:rPr>
        <w:t>3</w:t>
      </w:r>
      <w:r>
        <w:rPr>
          <w:rFonts w:hint="eastAsia" w:ascii="宋体"/>
          <w:sz w:val="24"/>
        </w:rPr>
        <w:t>%以上的，需要得到股东大会的批准，除非得到上市交易所的豁免。</w:t>
      </w:r>
    </w:p>
    <w:p>
      <w:pPr>
        <w:numPr>
          <w:ilvl w:val="0"/>
          <w:numId w:val="8"/>
        </w:numPr>
        <w:tabs>
          <w:tab w:val="left" w:pos="0"/>
          <w:tab w:val="left" w:pos="2400"/>
        </w:tabs>
        <w:snapToGrid w:val="0"/>
        <w:spacing w:line="360" w:lineRule="auto"/>
        <w:rPr>
          <w:rFonts w:ascii="宋体"/>
          <w:sz w:val="24"/>
        </w:rPr>
      </w:pPr>
      <w:r>
        <w:rPr>
          <w:rFonts w:hint="eastAsia" w:ascii="宋体"/>
          <w:sz w:val="24"/>
        </w:rPr>
        <w:t>选举和更换</w:t>
      </w:r>
      <w:r>
        <w:rPr>
          <w:rFonts w:hint="eastAsia" w:ascii="宋体" w:hAnsi="宋体"/>
          <w:sz w:val="24"/>
          <w:szCs w:val="24"/>
        </w:rPr>
        <w:t>非由职工代表担任的</w:t>
      </w:r>
      <w:r>
        <w:rPr>
          <w:rFonts w:hint="eastAsia" w:ascii="宋体"/>
          <w:sz w:val="24"/>
        </w:rPr>
        <w:t>董事，决定有关董事的报酬事项；</w:t>
      </w:r>
    </w:p>
    <w:p>
      <w:pPr>
        <w:numPr>
          <w:ilvl w:val="0"/>
          <w:numId w:val="8"/>
        </w:numPr>
        <w:tabs>
          <w:tab w:val="left" w:pos="0"/>
          <w:tab w:val="left" w:pos="2400"/>
        </w:tabs>
        <w:snapToGrid w:val="0"/>
        <w:spacing w:line="360" w:lineRule="auto"/>
        <w:rPr>
          <w:rFonts w:ascii="宋体"/>
          <w:sz w:val="24"/>
        </w:rPr>
      </w:pPr>
      <w:r>
        <w:rPr>
          <w:rFonts w:hint="eastAsia" w:ascii="宋体"/>
          <w:sz w:val="24"/>
        </w:rPr>
        <w:t>选举和更换</w:t>
      </w:r>
      <w:r>
        <w:rPr>
          <w:rFonts w:hint="eastAsia" w:ascii="宋体" w:hAnsi="宋体"/>
          <w:sz w:val="24"/>
          <w:szCs w:val="24"/>
        </w:rPr>
        <w:t>非由职工代表担任的</w:t>
      </w:r>
      <w:r>
        <w:rPr>
          <w:rFonts w:hint="eastAsia" w:ascii="宋体"/>
          <w:sz w:val="24"/>
        </w:rPr>
        <w:t>监事，决定有关监事的报酬事项；</w:t>
      </w:r>
    </w:p>
    <w:p>
      <w:pPr>
        <w:numPr>
          <w:ilvl w:val="0"/>
          <w:numId w:val="8"/>
        </w:numPr>
        <w:tabs>
          <w:tab w:val="left" w:pos="0"/>
          <w:tab w:val="left" w:pos="2400"/>
        </w:tabs>
        <w:snapToGrid w:val="0"/>
        <w:spacing w:line="360" w:lineRule="auto"/>
        <w:rPr>
          <w:rFonts w:ascii="宋体"/>
          <w:sz w:val="24"/>
        </w:rPr>
      </w:pPr>
      <w:r>
        <w:rPr>
          <w:rFonts w:hint="eastAsia" w:ascii="宋体"/>
          <w:sz w:val="24"/>
        </w:rPr>
        <w:t>审议批准董事会的报告；</w:t>
      </w:r>
    </w:p>
    <w:p>
      <w:pPr>
        <w:numPr>
          <w:ilvl w:val="0"/>
          <w:numId w:val="8"/>
        </w:numPr>
        <w:tabs>
          <w:tab w:val="left" w:pos="0"/>
          <w:tab w:val="left" w:pos="2400"/>
        </w:tabs>
        <w:snapToGrid w:val="0"/>
        <w:spacing w:line="360" w:lineRule="auto"/>
        <w:rPr>
          <w:rFonts w:ascii="宋体"/>
          <w:sz w:val="24"/>
        </w:rPr>
      </w:pPr>
      <w:r>
        <w:rPr>
          <w:rFonts w:hint="eastAsia" w:ascii="宋体"/>
          <w:sz w:val="24"/>
        </w:rPr>
        <w:t>审议批准监事会的报告；</w:t>
      </w:r>
    </w:p>
    <w:p>
      <w:pPr>
        <w:numPr>
          <w:ilvl w:val="0"/>
          <w:numId w:val="8"/>
        </w:numPr>
        <w:tabs>
          <w:tab w:val="left" w:pos="0"/>
          <w:tab w:val="left" w:pos="2400"/>
        </w:tabs>
        <w:snapToGrid w:val="0"/>
        <w:spacing w:line="360" w:lineRule="auto"/>
        <w:rPr>
          <w:rFonts w:ascii="宋体"/>
          <w:sz w:val="24"/>
        </w:rPr>
      </w:pPr>
      <w:r>
        <w:rPr>
          <w:rFonts w:hint="eastAsia" w:ascii="宋体"/>
          <w:sz w:val="24"/>
        </w:rPr>
        <w:t>审议批准公司的年度财务预算方案、决算方案；</w:t>
      </w:r>
    </w:p>
    <w:p>
      <w:pPr>
        <w:numPr>
          <w:ilvl w:val="0"/>
          <w:numId w:val="8"/>
        </w:numPr>
        <w:tabs>
          <w:tab w:val="left" w:pos="0"/>
          <w:tab w:val="left" w:pos="2400"/>
        </w:tabs>
        <w:snapToGrid w:val="0"/>
        <w:spacing w:line="360" w:lineRule="auto"/>
        <w:rPr>
          <w:rFonts w:ascii="宋体"/>
          <w:sz w:val="24"/>
        </w:rPr>
      </w:pPr>
      <w:r>
        <w:rPr>
          <w:rFonts w:hint="eastAsia" w:ascii="宋体"/>
          <w:sz w:val="24"/>
        </w:rPr>
        <w:t>审议批准公司的利润分配方案和弥补亏损方案；</w:t>
      </w:r>
    </w:p>
    <w:p>
      <w:pPr>
        <w:numPr>
          <w:ilvl w:val="0"/>
          <w:numId w:val="8"/>
        </w:numPr>
        <w:tabs>
          <w:tab w:val="left" w:pos="0"/>
          <w:tab w:val="left" w:pos="2400"/>
        </w:tabs>
        <w:snapToGrid w:val="0"/>
        <w:spacing w:line="360" w:lineRule="auto"/>
        <w:rPr>
          <w:rFonts w:ascii="宋体"/>
          <w:sz w:val="24"/>
        </w:rPr>
      </w:pPr>
      <w:r>
        <w:rPr>
          <w:rFonts w:hint="eastAsia" w:ascii="宋体"/>
          <w:sz w:val="24"/>
        </w:rPr>
        <w:t>对公司增加或者减少注册资本作出决议；</w:t>
      </w:r>
    </w:p>
    <w:p>
      <w:pPr>
        <w:numPr>
          <w:ilvl w:val="0"/>
          <w:numId w:val="8"/>
        </w:numPr>
        <w:tabs>
          <w:tab w:val="left" w:pos="0"/>
          <w:tab w:val="left" w:pos="2400"/>
        </w:tabs>
        <w:snapToGrid w:val="0"/>
        <w:spacing w:line="360" w:lineRule="auto"/>
        <w:rPr>
          <w:rFonts w:ascii="宋体"/>
          <w:sz w:val="24"/>
        </w:rPr>
      </w:pPr>
      <w:r>
        <w:rPr>
          <w:rFonts w:hint="eastAsia" w:ascii="宋体"/>
          <w:sz w:val="24"/>
        </w:rPr>
        <w:t>对公司变更公司形式等事项作出决议；</w:t>
      </w:r>
    </w:p>
    <w:p>
      <w:pPr>
        <w:numPr>
          <w:ilvl w:val="0"/>
          <w:numId w:val="8"/>
        </w:numPr>
        <w:tabs>
          <w:tab w:val="left" w:pos="0"/>
          <w:tab w:val="left" w:pos="2400"/>
        </w:tabs>
        <w:snapToGrid w:val="0"/>
        <w:spacing w:line="360" w:lineRule="auto"/>
        <w:rPr>
          <w:rFonts w:ascii="宋体"/>
          <w:sz w:val="24"/>
        </w:rPr>
      </w:pPr>
      <w:r>
        <w:rPr>
          <w:rFonts w:hint="eastAsia" w:ascii="宋体"/>
          <w:sz w:val="24"/>
        </w:rPr>
        <w:t>对公司合并、分立、解散和清算等事项作出决议；</w:t>
      </w:r>
    </w:p>
    <w:p>
      <w:pPr>
        <w:numPr>
          <w:ilvl w:val="0"/>
          <w:numId w:val="8"/>
        </w:numPr>
        <w:tabs>
          <w:tab w:val="left" w:pos="0"/>
          <w:tab w:val="left" w:pos="1080"/>
        </w:tabs>
        <w:snapToGrid w:val="0"/>
        <w:spacing w:line="360" w:lineRule="auto"/>
        <w:rPr>
          <w:rFonts w:ascii="宋体"/>
          <w:sz w:val="24"/>
        </w:rPr>
      </w:pPr>
      <w:r>
        <w:rPr>
          <w:rFonts w:hint="eastAsia" w:ascii="宋体"/>
          <w:sz w:val="24"/>
        </w:rPr>
        <w:t>对公司发行债券作出决议；</w:t>
      </w:r>
    </w:p>
    <w:p>
      <w:pPr>
        <w:numPr>
          <w:ilvl w:val="0"/>
          <w:numId w:val="8"/>
        </w:numPr>
        <w:tabs>
          <w:tab w:val="left" w:pos="0"/>
          <w:tab w:val="left" w:pos="1080"/>
        </w:tabs>
        <w:snapToGrid w:val="0"/>
        <w:spacing w:line="360" w:lineRule="auto"/>
        <w:rPr>
          <w:rFonts w:ascii="宋体"/>
          <w:sz w:val="24"/>
        </w:rPr>
      </w:pPr>
      <w:r>
        <w:rPr>
          <w:rFonts w:hint="eastAsia" w:ascii="宋体"/>
          <w:sz w:val="24"/>
        </w:rPr>
        <w:t>对公司聘用、解聘或者不再续聘会计师事务所作出决议；</w:t>
      </w:r>
    </w:p>
    <w:p>
      <w:pPr>
        <w:numPr>
          <w:ilvl w:val="0"/>
          <w:numId w:val="8"/>
        </w:numPr>
        <w:tabs>
          <w:tab w:val="left" w:pos="0"/>
          <w:tab w:val="left" w:pos="1080"/>
        </w:tabs>
        <w:snapToGrid w:val="0"/>
        <w:spacing w:line="360" w:lineRule="auto"/>
        <w:rPr>
          <w:rFonts w:ascii="宋体"/>
          <w:sz w:val="24"/>
        </w:rPr>
      </w:pPr>
      <w:r>
        <w:rPr>
          <w:rFonts w:hint="eastAsia" w:ascii="宋体"/>
          <w:sz w:val="24"/>
        </w:rPr>
        <w:t>对修改公司章程作出决议；</w:t>
      </w:r>
    </w:p>
    <w:p>
      <w:pPr>
        <w:numPr>
          <w:ilvl w:val="0"/>
          <w:numId w:val="8"/>
        </w:numPr>
        <w:tabs>
          <w:tab w:val="left" w:pos="1080"/>
          <w:tab w:val="clear" w:pos="720"/>
        </w:tabs>
        <w:snapToGrid w:val="0"/>
        <w:spacing w:line="360" w:lineRule="auto"/>
        <w:ind w:left="1080" w:hanging="1080"/>
        <w:rPr>
          <w:rFonts w:ascii="宋体"/>
          <w:sz w:val="24"/>
        </w:rPr>
      </w:pPr>
      <w:r>
        <w:rPr>
          <w:rFonts w:hint="eastAsia" w:ascii="宋体"/>
          <w:sz w:val="24"/>
        </w:rPr>
        <w:t>审议代表公司有表决权的股份百分之三以上（含百分之三）的股东的提案；</w:t>
      </w:r>
    </w:p>
    <w:p>
      <w:pPr>
        <w:numPr>
          <w:ilvl w:val="0"/>
          <w:numId w:val="8"/>
        </w:numPr>
        <w:tabs>
          <w:tab w:val="left" w:pos="1080"/>
          <w:tab w:val="clear" w:pos="720"/>
        </w:tabs>
        <w:snapToGrid w:val="0"/>
        <w:spacing w:line="360" w:lineRule="auto"/>
        <w:ind w:left="1080" w:hanging="1080"/>
        <w:rPr>
          <w:rFonts w:ascii="宋体"/>
          <w:sz w:val="24"/>
        </w:rPr>
      </w:pPr>
      <w:r>
        <w:rPr>
          <w:rFonts w:hint="eastAsia" w:ascii="宋体"/>
          <w:sz w:val="24"/>
        </w:rPr>
        <w:t>审议批准3.3条规定的担保事项；</w:t>
      </w:r>
    </w:p>
    <w:p>
      <w:pPr>
        <w:numPr>
          <w:ilvl w:val="0"/>
          <w:numId w:val="8"/>
        </w:numPr>
        <w:tabs>
          <w:tab w:val="left" w:pos="1080"/>
          <w:tab w:val="clear" w:pos="720"/>
        </w:tabs>
        <w:snapToGrid w:val="0"/>
        <w:spacing w:line="360" w:lineRule="auto"/>
        <w:ind w:left="1080" w:hanging="1080"/>
        <w:rPr>
          <w:rFonts w:ascii="宋体"/>
          <w:sz w:val="24"/>
        </w:rPr>
      </w:pPr>
      <w:r>
        <w:rPr>
          <w:rFonts w:hint="eastAsia" w:ascii="宋体"/>
          <w:sz w:val="24"/>
        </w:rPr>
        <w:t>审议批准变更募集资金用途事项；</w:t>
      </w:r>
    </w:p>
    <w:p>
      <w:pPr>
        <w:numPr>
          <w:ilvl w:val="0"/>
          <w:numId w:val="8"/>
        </w:numPr>
        <w:tabs>
          <w:tab w:val="left" w:pos="1080"/>
          <w:tab w:val="clear" w:pos="720"/>
        </w:tabs>
        <w:snapToGrid w:val="0"/>
        <w:spacing w:line="360" w:lineRule="auto"/>
        <w:ind w:left="1080" w:hanging="1080"/>
        <w:rPr>
          <w:rFonts w:ascii="宋体"/>
          <w:sz w:val="24"/>
        </w:rPr>
      </w:pPr>
      <w:r>
        <w:rPr>
          <w:rFonts w:hint="eastAsia" w:ascii="宋体"/>
          <w:sz w:val="24"/>
        </w:rPr>
        <w:t>审议股权激励计划和员工持股计划；</w:t>
      </w:r>
    </w:p>
    <w:p>
      <w:pPr>
        <w:numPr>
          <w:ilvl w:val="0"/>
          <w:numId w:val="8"/>
        </w:numPr>
        <w:tabs>
          <w:tab w:val="left" w:pos="1080"/>
        </w:tabs>
        <w:snapToGrid w:val="0"/>
        <w:spacing w:line="360" w:lineRule="auto"/>
        <w:rPr>
          <w:rFonts w:ascii="宋体"/>
          <w:sz w:val="24"/>
        </w:rPr>
      </w:pPr>
      <w:r>
        <w:rPr>
          <w:rFonts w:hint="eastAsia" w:ascii="宋体"/>
          <w:sz w:val="24"/>
        </w:rPr>
        <w:t>审议批准由董事会提交股东大会的其他事项；</w:t>
      </w:r>
    </w:p>
    <w:p>
      <w:pPr>
        <w:numPr>
          <w:ilvl w:val="0"/>
          <w:numId w:val="8"/>
        </w:numPr>
        <w:tabs>
          <w:tab w:val="left" w:pos="0"/>
          <w:tab w:val="left" w:pos="1080"/>
          <w:tab w:val="clear" w:pos="720"/>
        </w:tabs>
        <w:snapToGrid w:val="0"/>
        <w:spacing w:line="360" w:lineRule="auto"/>
        <w:ind w:left="1080" w:hanging="1080"/>
        <w:rPr>
          <w:rFonts w:ascii="宋体"/>
          <w:sz w:val="24"/>
        </w:rPr>
      </w:pPr>
      <w:r>
        <w:rPr>
          <w:rFonts w:hint="eastAsia" w:ascii="宋体"/>
          <w:sz w:val="24"/>
        </w:rPr>
        <w:t>法律、行政法规及公司章程规定应当由股东大会作出决议的其他事项。</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3</w:t>
      </w:r>
      <w:r>
        <w:rPr>
          <w:rFonts w:ascii="宋体"/>
          <w:sz w:val="24"/>
        </w:rPr>
        <w:t xml:space="preserve">.3  </w:t>
      </w:r>
      <w:r>
        <w:rPr>
          <w:rFonts w:hint="eastAsia" w:ascii="宋体"/>
          <w:sz w:val="24"/>
        </w:rPr>
        <w:t>公司下列对外担保行为，须经股东大会审议通过：</w:t>
      </w:r>
    </w:p>
    <w:p>
      <w:pPr>
        <w:tabs>
          <w:tab w:val="left" w:pos="0"/>
          <w:tab w:val="left" w:pos="2400"/>
        </w:tabs>
        <w:snapToGrid w:val="0"/>
        <w:spacing w:line="360" w:lineRule="auto"/>
        <w:rPr>
          <w:rFonts w:ascii="宋体"/>
          <w:sz w:val="24"/>
        </w:rPr>
      </w:pPr>
      <w:r>
        <w:rPr>
          <w:rFonts w:hint="eastAsia" w:ascii="宋体"/>
          <w:sz w:val="24"/>
        </w:rPr>
        <w:t xml:space="preserve">（一）本公司及本公司控股子公司的对外担保总额,达到或超过最近一期经审计净资产的50%以后提供的任何担保； </w:t>
      </w:r>
    </w:p>
    <w:p>
      <w:pPr>
        <w:tabs>
          <w:tab w:val="left" w:pos="0"/>
          <w:tab w:val="left" w:pos="2400"/>
        </w:tabs>
        <w:snapToGrid w:val="0"/>
        <w:spacing w:line="360" w:lineRule="auto"/>
        <w:rPr>
          <w:rFonts w:ascii="宋体"/>
          <w:sz w:val="24"/>
        </w:rPr>
      </w:pPr>
      <w:r>
        <w:rPr>
          <w:rFonts w:hint="eastAsia" w:ascii="宋体"/>
          <w:sz w:val="24"/>
        </w:rPr>
        <w:t>（二）公司的对外担保总额，达到或超过最近一期经审计总资产的30%以后提供的任何担保；</w:t>
      </w:r>
    </w:p>
    <w:p>
      <w:pPr>
        <w:tabs>
          <w:tab w:val="left" w:pos="0"/>
          <w:tab w:val="left" w:pos="2400"/>
        </w:tabs>
        <w:snapToGrid w:val="0"/>
        <w:spacing w:line="360" w:lineRule="auto"/>
        <w:rPr>
          <w:rFonts w:ascii="宋体"/>
          <w:sz w:val="24"/>
        </w:rPr>
      </w:pPr>
      <w:r>
        <w:rPr>
          <w:rFonts w:hint="eastAsia" w:ascii="宋体"/>
          <w:sz w:val="24"/>
        </w:rPr>
        <w:t>（三）公司在一年内担保金额超过公司最近一期经审计总资产百分之三十的担保；</w:t>
      </w:r>
    </w:p>
    <w:p>
      <w:pPr>
        <w:tabs>
          <w:tab w:val="left" w:pos="0"/>
          <w:tab w:val="left" w:pos="2400"/>
        </w:tabs>
        <w:snapToGrid w:val="0"/>
        <w:spacing w:line="360" w:lineRule="auto"/>
        <w:rPr>
          <w:rFonts w:ascii="宋体"/>
          <w:sz w:val="24"/>
        </w:rPr>
      </w:pPr>
      <w:r>
        <w:rPr>
          <w:rFonts w:hint="eastAsia" w:ascii="宋体"/>
          <w:sz w:val="24"/>
        </w:rPr>
        <w:t>（四）为资产负债率超过70%的担保对象提供的担保；</w:t>
      </w:r>
    </w:p>
    <w:p>
      <w:pPr>
        <w:tabs>
          <w:tab w:val="left" w:pos="0"/>
          <w:tab w:val="left" w:pos="2400"/>
        </w:tabs>
        <w:snapToGrid w:val="0"/>
        <w:spacing w:line="360" w:lineRule="auto"/>
        <w:rPr>
          <w:rFonts w:ascii="宋体"/>
          <w:sz w:val="24"/>
        </w:rPr>
      </w:pPr>
      <w:r>
        <w:rPr>
          <w:rFonts w:hint="eastAsia" w:ascii="宋体"/>
          <w:sz w:val="24"/>
        </w:rPr>
        <w:t>（五）单笔担保额超过最近一期经审计净资产10%的担保；</w:t>
      </w:r>
    </w:p>
    <w:p>
      <w:pPr>
        <w:tabs>
          <w:tab w:val="left" w:pos="0"/>
          <w:tab w:val="left" w:pos="2400"/>
        </w:tabs>
        <w:snapToGrid w:val="0"/>
        <w:spacing w:line="360" w:lineRule="auto"/>
        <w:rPr>
          <w:rFonts w:ascii="宋体"/>
          <w:sz w:val="24"/>
        </w:rPr>
      </w:pPr>
      <w:r>
        <w:rPr>
          <w:rFonts w:hint="eastAsia" w:ascii="宋体"/>
          <w:sz w:val="24"/>
        </w:rPr>
        <w:t>（六）对股东、实际控制人及其关联方提供的担保。</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3.4</w:t>
      </w:r>
      <w:r>
        <w:rPr>
          <w:rFonts w:ascii="宋体"/>
          <w:sz w:val="24"/>
        </w:rPr>
        <w:t xml:space="preserve"> </w:t>
      </w:r>
      <w:r>
        <w:rPr>
          <w:rFonts w:hint="eastAsia" w:ascii="宋体"/>
          <w:sz w:val="24"/>
        </w:rPr>
        <w:t xml:space="preserve"> 除公司处于危机等特殊情况外，非经股东大会以特别决议批准，公司不得与董事、监事、经理和其他高级管理人员以外的人订立将公司全部或者重要业务的管理交予该人负责的合同。</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jc w:val="center"/>
        <w:rPr>
          <w:rFonts w:ascii="黑体" w:eastAsia="黑体"/>
          <w:b/>
          <w:sz w:val="28"/>
        </w:rPr>
      </w:pPr>
      <w:r>
        <w:rPr>
          <w:rFonts w:hint="eastAsia" w:ascii="黑体" w:eastAsia="黑体"/>
          <w:b/>
          <w:sz w:val="28"/>
        </w:rPr>
        <w:t>第四章    股东大会</w:t>
      </w:r>
    </w:p>
    <w:p>
      <w:pPr>
        <w:tabs>
          <w:tab w:val="left" w:pos="0"/>
          <w:tab w:val="left" w:pos="2400"/>
        </w:tabs>
        <w:snapToGrid w:val="0"/>
        <w:spacing w:line="360" w:lineRule="auto"/>
        <w:jc w:val="center"/>
        <w:rPr>
          <w:rFonts w:ascii="黑体" w:eastAsia="黑体"/>
          <w:b/>
          <w:sz w:val="24"/>
        </w:rPr>
      </w:pPr>
      <w:r>
        <w:rPr>
          <w:rFonts w:hint="eastAsia" w:ascii="黑体" w:eastAsia="黑体"/>
          <w:b/>
          <w:sz w:val="24"/>
        </w:rPr>
        <w:t>第一节    会议召开</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4.1.1</w:t>
      </w:r>
      <w:r>
        <w:rPr>
          <w:rFonts w:ascii="宋体"/>
          <w:sz w:val="24"/>
        </w:rPr>
        <w:t xml:space="preserve">  </w:t>
      </w:r>
      <w:r>
        <w:rPr>
          <w:rFonts w:hint="eastAsia" w:ascii="宋体"/>
          <w:sz w:val="24"/>
        </w:rPr>
        <w:t>股东大会分为年度股东大会和临时股东大会。股东大会由董事会召集。年度股东大会每年召开一次，并应于上一会计年度完结之后的六个月之内举行。</w:t>
      </w:r>
    </w:p>
    <w:p>
      <w:pPr>
        <w:tabs>
          <w:tab w:val="left" w:pos="0"/>
          <w:tab w:val="left" w:pos="2400"/>
        </w:tabs>
        <w:snapToGrid w:val="0"/>
        <w:spacing w:line="360" w:lineRule="auto"/>
        <w:rPr>
          <w:rFonts w:ascii="宋体"/>
          <w:sz w:val="24"/>
        </w:rPr>
      </w:pPr>
      <w:r>
        <w:rPr>
          <w:rFonts w:hint="eastAsia" w:ascii="宋体"/>
          <w:sz w:val="24"/>
        </w:rPr>
        <w:t xml:space="preserve">    公司在上述期限内因故不能召开年度股东大会的，应当报告上市交易所，说明原因并公告。</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4.1.2  股东大会应当每年召开一次年会。有下列情形之一的，应当在两个月内召开临时股东大会：</w:t>
      </w:r>
    </w:p>
    <w:p>
      <w:pPr>
        <w:tabs>
          <w:tab w:val="left" w:pos="0"/>
          <w:tab w:val="left" w:pos="2400"/>
        </w:tabs>
        <w:snapToGrid w:val="0"/>
        <w:spacing w:line="360" w:lineRule="auto"/>
        <w:rPr>
          <w:rFonts w:ascii="宋体"/>
          <w:sz w:val="24"/>
        </w:rPr>
      </w:pPr>
      <w:r>
        <w:rPr>
          <w:rFonts w:hint="eastAsia" w:ascii="宋体"/>
          <w:sz w:val="24"/>
        </w:rPr>
        <w:t>（一）董事人数不足《公司法》规定人数或者公司章程所定人数的三分之二时；</w:t>
      </w:r>
    </w:p>
    <w:p>
      <w:pPr>
        <w:tabs>
          <w:tab w:val="left" w:pos="0"/>
          <w:tab w:val="left" w:pos="2400"/>
        </w:tabs>
        <w:snapToGrid w:val="0"/>
        <w:spacing w:line="360" w:lineRule="auto"/>
        <w:rPr>
          <w:rFonts w:ascii="宋体"/>
          <w:sz w:val="24"/>
        </w:rPr>
      </w:pPr>
      <w:r>
        <w:rPr>
          <w:rFonts w:hint="eastAsia" w:ascii="宋体"/>
          <w:sz w:val="24"/>
        </w:rPr>
        <w:t>（二）公司未弥补的亏损达实收股本总额三分之一时；</w:t>
      </w:r>
    </w:p>
    <w:p>
      <w:pPr>
        <w:tabs>
          <w:tab w:val="left" w:pos="0"/>
          <w:tab w:val="left" w:pos="2400"/>
        </w:tabs>
        <w:snapToGrid w:val="0"/>
        <w:spacing w:line="360" w:lineRule="auto"/>
        <w:rPr>
          <w:rFonts w:ascii="宋体"/>
          <w:sz w:val="24"/>
        </w:rPr>
      </w:pPr>
      <w:r>
        <w:rPr>
          <w:rFonts w:hint="eastAsia" w:ascii="宋体"/>
          <w:sz w:val="24"/>
        </w:rPr>
        <w:t>（三）单独或合并持有公司发行在外的有表决权的股份百分之十以上（含百分之十）的股东以书面形式要求召开临时股东大会时；</w:t>
      </w:r>
    </w:p>
    <w:p>
      <w:pPr>
        <w:tabs>
          <w:tab w:val="left" w:pos="0"/>
          <w:tab w:val="left" w:pos="2400"/>
        </w:tabs>
        <w:snapToGrid w:val="0"/>
        <w:spacing w:line="360" w:lineRule="auto"/>
        <w:rPr>
          <w:rFonts w:ascii="宋体"/>
          <w:sz w:val="24"/>
        </w:rPr>
      </w:pPr>
      <w:r>
        <w:rPr>
          <w:rFonts w:hint="eastAsia" w:ascii="宋体"/>
          <w:sz w:val="24"/>
        </w:rPr>
        <w:t>（四）董事会或者监事会提出召开时；</w:t>
      </w:r>
    </w:p>
    <w:p>
      <w:pPr>
        <w:tabs>
          <w:tab w:val="left" w:pos="0"/>
          <w:tab w:val="left" w:pos="2400"/>
        </w:tabs>
        <w:snapToGrid w:val="0"/>
        <w:spacing w:line="360" w:lineRule="auto"/>
        <w:rPr>
          <w:rFonts w:ascii="宋体"/>
          <w:sz w:val="24"/>
        </w:rPr>
      </w:pPr>
      <w:r>
        <w:rPr>
          <w:rFonts w:hint="eastAsia" w:ascii="宋体"/>
          <w:sz w:val="24"/>
        </w:rPr>
        <w:t>（五）公司章程规定的其他情形。</w:t>
      </w:r>
    </w:p>
    <w:p>
      <w:pPr>
        <w:tabs>
          <w:tab w:val="left" w:pos="0"/>
          <w:tab w:val="left" w:pos="2400"/>
        </w:tabs>
        <w:snapToGrid w:val="0"/>
        <w:spacing w:line="360" w:lineRule="auto"/>
        <w:rPr>
          <w:rFonts w:ascii="宋体"/>
          <w:sz w:val="24"/>
        </w:rPr>
      </w:pPr>
      <w:r>
        <w:rPr>
          <w:rFonts w:hint="eastAsia" w:ascii="宋体"/>
          <w:sz w:val="24"/>
        </w:rPr>
        <w:t xml:space="preserve">    公司在上述期限内不能召开股东大会的，应当报告公司所在地中国证监会派出机构和公司股票上市的交易所，说明原因并公告。</w:t>
      </w:r>
    </w:p>
    <w:p>
      <w:pPr>
        <w:tabs>
          <w:tab w:val="left" w:pos="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 xml:space="preserve">4.1.3  </w:t>
      </w:r>
      <w:bookmarkStart w:id="7" w:name="No22_T5K1X1"/>
      <w:bookmarkEnd w:id="7"/>
      <w:r>
        <w:rPr>
          <w:rFonts w:hint="eastAsia" w:ascii="宋体"/>
          <w:sz w:val="24"/>
        </w:rPr>
        <w:t>公司召开股东大会，董事会应当聘请律师对以下问题出具法律意见并公告：</w:t>
      </w:r>
    </w:p>
    <w:p>
      <w:pPr>
        <w:tabs>
          <w:tab w:val="left" w:pos="0"/>
          <w:tab w:val="left" w:pos="2400"/>
        </w:tabs>
        <w:snapToGrid w:val="0"/>
        <w:spacing w:line="360" w:lineRule="auto"/>
        <w:rPr>
          <w:rFonts w:ascii="宋体"/>
          <w:sz w:val="24"/>
        </w:rPr>
      </w:pPr>
      <w:r>
        <w:rPr>
          <w:rFonts w:hint="eastAsia" w:ascii="宋体"/>
          <w:sz w:val="24"/>
        </w:rPr>
        <w:t>（一）会议的召集、召开程序是否符合法律、行政法规和公司章程的规定；</w:t>
      </w:r>
    </w:p>
    <w:p>
      <w:pPr>
        <w:tabs>
          <w:tab w:val="left" w:pos="0"/>
          <w:tab w:val="left" w:pos="2400"/>
        </w:tabs>
        <w:snapToGrid w:val="0"/>
        <w:spacing w:line="360" w:lineRule="auto"/>
        <w:rPr>
          <w:rFonts w:ascii="宋体"/>
          <w:sz w:val="24"/>
        </w:rPr>
      </w:pPr>
      <w:r>
        <w:rPr>
          <w:rFonts w:hint="eastAsia" w:ascii="宋体"/>
          <w:sz w:val="24"/>
        </w:rPr>
        <w:t>（二）出席会议人员的资格、召集人资格是否合法有效；</w:t>
      </w:r>
    </w:p>
    <w:p>
      <w:pPr>
        <w:tabs>
          <w:tab w:val="left" w:pos="0"/>
          <w:tab w:val="left" w:pos="2400"/>
        </w:tabs>
        <w:snapToGrid w:val="0"/>
        <w:spacing w:line="360" w:lineRule="auto"/>
        <w:rPr>
          <w:rFonts w:ascii="宋体"/>
          <w:sz w:val="24"/>
        </w:rPr>
      </w:pPr>
      <w:r>
        <w:rPr>
          <w:rFonts w:hint="eastAsia" w:ascii="宋体"/>
          <w:sz w:val="24"/>
        </w:rPr>
        <w:t>（三）会议的表决程序、表决结果是否合法有效；</w:t>
      </w:r>
    </w:p>
    <w:p>
      <w:pPr>
        <w:tabs>
          <w:tab w:val="left" w:pos="0"/>
          <w:tab w:val="left" w:pos="2400"/>
        </w:tabs>
        <w:snapToGrid w:val="0"/>
        <w:spacing w:line="360" w:lineRule="auto"/>
        <w:rPr>
          <w:rFonts w:ascii="宋体"/>
          <w:sz w:val="24"/>
        </w:rPr>
      </w:pPr>
      <w:r>
        <w:rPr>
          <w:rFonts w:hint="eastAsia" w:ascii="宋体"/>
          <w:sz w:val="24"/>
        </w:rPr>
        <w:t>（四）应公司要求对其他有关问题出具的法律意见。</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ind w:firstLine="480"/>
        <w:rPr>
          <w:rFonts w:ascii="宋体"/>
          <w:sz w:val="24"/>
        </w:rPr>
      </w:pPr>
      <w:r>
        <w:rPr>
          <w:rFonts w:hint="eastAsia" w:ascii="宋体"/>
          <w:sz w:val="24"/>
        </w:rPr>
        <w:t>公司董事会也可聘请公证人员出席股东大会。</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4.1.4  股东大会召开期间公司股票应当按上市交易所规定决定是否停牌。公司董事会应当保证股东大会在合理的工作时间内连续进行，直至形成最终决议。因不可抗力或其他异常原因导致股东大会不能正常召开或未能作出任何决议的，公司董事会应向证券交易所说明原因并公告，公司董事会有义务采取必要措施尽快恢复召开股东大会。</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jc w:val="center"/>
        <w:rPr>
          <w:rFonts w:ascii="黑体" w:eastAsia="黑体"/>
          <w:b/>
          <w:sz w:val="24"/>
        </w:rPr>
      </w:pPr>
      <w:r>
        <w:rPr>
          <w:rFonts w:hint="eastAsia" w:ascii="黑体" w:eastAsia="黑体"/>
          <w:b/>
          <w:sz w:val="24"/>
        </w:rPr>
        <w:t>第二节    会议召集与通知</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4.2.1  股东大会由董事会召集，由董事会秘书室承办。</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4.2.2</w:t>
      </w:r>
      <w:r>
        <w:rPr>
          <w:rFonts w:ascii="宋体"/>
          <w:sz w:val="24"/>
        </w:rPr>
        <w:t xml:space="preserve">  </w:t>
      </w:r>
      <w:r>
        <w:rPr>
          <w:rFonts w:hint="eastAsia" w:ascii="宋体"/>
          <w:sz w:val="24"/>
        </w:rPr>
        <w:t>公司召开年度股东大会，应当于会议召开二十日前发出书面通知，公司召开临时股东大会应当于会议召开十五日前发出书面通知，将会议拟审议的事项以及开会的日期和地点告知所有在册股东。计算发出通知的期间，不应包括开会日及发出通知日。公司提供网络为股东参加股东大会提供便利，股东通过上述方式参加股东大会的，视为出席。</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 xml:space="preserve">4.2.3 董事会发布召开股东大会的决议通知后，股东大会不得无故延期或取消。公司因特殊原因必须延期或取消召开股东大会的，应当在原定股东大会召开日前至少2个工作日公告并说明原因。属延期的，公告中应当说明延期后的召开日期。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4.2.4</w:t>
      </w:r>
      <w:r>
        <w:rPr>
          <w:rFonts w:ascii="宋体"/>
          <w:sz w:val="24"/>
        </w:rPr>
        <w:t xml:space="preserve">  </w:t>
      </w:r>
      <w:r>
        <w:rPr>
          <w:rFonts w:hint="eastAsia" w:ascii="宋体"/>
          <w:sz w:val="24"/>
        </w:rPr>
        <w:t>公司召开股东大会，董事会、监事会以及单独或者合并持有公司有表决权的3%以上股份的股东，有权向公司提出提案。单独或者合计持有公司3%以上有表决权股份的股东，可以在股东大会召开10日前提出临时提案并书面提交召集人。召集人应当在收到提案后2日内发出股东大会补充通知，公告临时提案的内容。</w:t>
      </w:r>
    </w:p>
    <w:p>
      <w:pPr>
        <w:tabs>
          <w:tab w:val="left" w:pos="0"/>
          <w:tab w:val="left" w:pos="2400"/>
        </w:tabs>
        <w:snapToGrid w:val="0"/>
        <w:spacing w:line="360" w:lineRule="auto"/>
        <w:rPr>
          <w:rFonts w:ascii="宋体"/>
          <w:sz w:val="24"/>
        </w:rPr>
      </w:pPr>
      <w:r>
        <w:rPr>
          <w:rFonts w:hint="eastAsia" w:ascii="宋体"/>
          <w:sz w:val="24"/>
        </w:rPr>
        <w:t xml:space="preserve">    除前款规定的情形外，召集人在发出股东大会通知后，不得修改股东大会通知中已列明的提案或增加新的提案。</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4.2.5  股东大会的通知包括以下内容：</w:t>
      </w:r>
    </w:p>
    <w:p>
      <w:pPr>
        <w:tabs>
          <w:tab w:val="left" w:pos="0"/>
          <w:tab w:val="left" w:pos="2400"/>
        </w:tabs>
        <w:snapToGrid w:val="0"/>
        <w:spacing w:line="360" w:lineRule="auto"/>
        <w:rPr>
          <w:rFonts w:ascii="宋体"/>
          <w:sz w:val="24"/>
        </w:rPr>
      </w:pPr>
      <w:r>
        <w:rPr>
          <w:rFonts w:hint="eastAsia" w:ascii="宋体"/>
          <w:sz w:val="24"/>
        </w:rPr>
        <w:t>（一）会议的时间、地点和会议期限；</w:t>
      </w:r>
    </w:p>
    <w:p>
      <w:pPr>
        <w:tabs>
          <w:tab w:val="left" w:pos="0"/>
          <w:tab w:val="left" w:pos="2400"/>
        </w:tabs>
        <w:snapToGrid w:val="0"/>
        <w:spacing w:line="360" w:lineRule="auto"/>
        <w:rPr>
          <w:rFonts w:ascii="宋体"/>
          <w:sz w:val="24"/>
        </w:rPr>
      </w:pPr>
      <w:r>
        <w:rPr>
          <w:rFonts w:hint="eastAsia" w:ascii="宋体"/>
          <w:sz w:val="24"/>
        </w:rPr>
        <w:t>（二）提交会议审议的事项和提案；</w:t>
      </w:r>
    </w:p>
    <w:p>
      <w:pPr>
        <w:tabs>
          <w:tab w:val="left" w:pos="0"/>
          <w:tab w:val="left" w:pos="2400"/>
        </w:tabs>
        <w:snapToGrid w:val="0"/>
        <w:spacing w:line="360" w:lineRule="auto"/>
        <w:rPr>
          <w:rFonts w:ascii="宋体"/>
          <w:sz w:val="24"/>
        </w:rPr>
      </w:pPr>
      <w:r>
        <w:rPr>
          <w:rFonts w:hint="eastAsia" w:ascii="宋体"/>
          <w:sz w:val="24"/>
        </w:rPr>
        <w:t>（三）以明显的文字说明：全体普通股股东（含表决权恢复的优先股股东）均有权出席股东大会，并可以书面委托代理人出席会议和参加表决，该股东代理人不必是公司的股东；</w:t>
      </w:r>
    </w:p>
    <w:p>
      <w:pPr>
        <w:tabs>
          <w:tab w:val="left" w:pos="0"/>
          <w:tab w:val="left" w:pos="2400"/>
        </w:tabs>
        <w:snapToGrid w:val="0"/>
        <w:spacing w:line="360" w:lineRule="auto"/>
        <w:rPr>
          <w:rFonts w:ascii="宋体"/>
          <w:sz w:val="24"/>
        </w:rPr>
      </w:pPr>
      <w:r>
        <w:rPr>
          <w:rFonts w:hint="eastAsia" w:ascii="宋体"/>
          <w:sz w:val="24"/>
        </w:rPr>
        <w:t>（四）有权出席股东大会股东的股权登记日；</w:t>
      </w:r>
    </w:p>
    <w:p>
      <w:pPr>
        <w:tabs>
          <w:tab w:val="left" w:pos="0"/>
          <w:tab w:val="left" w:pos="2400"/>
        </w:tabs>
        <w:snapToGrid w:val="0"/>
        <w:spacing w:line="360" w:lineRule="auto"/>
        <w:rPr>
          <w:rFonts w:ascii="宋体"/>
          <w:sz w:val="24"/>
        </w:rPr>
      </w:pPr>
      <w:r>
        <w:rPr>
          <w:rFonts w:hint="eastAsia" w:ascii="宋体"/>
          <w:sz w:val="24"/>
        </w:rPr>
        <w:t>（五）会务常设联系人姓名，电话号码；</w:t>
      </w:r>
    </w:p>
    <w:p>
      <w:pPr>
        <w:tabs>
          <w:tab w:val="left" w:pos="0"/>
          <w:tab w:val="left" w:pos="2400"/>
        </w:tabs>
        <w:snapToGrid w:val="0"/>
        <w:spacing w:line="360" w:lineRule="auto"/>
        <w:rPr>
          <w:rFonts w:ascii="宋体"/>
          <w:sz w:val="24"/>
        </w:rPr>
      </w:pPr>
      <w:r>
        <w:rPr>
          <w:rFonts w:hint="eastAsia" w:ascii="宋体"/>
          <w:sz w:val="24"/>
        </w:rPr>
        <w:t>（六）网络或其他方式的表决时间及表决程序。</w:t>
      </w:r>
    </w:p>
    <w:p>
      <w:pPr>
        <w:tabs>
          <w:tab w:val="left" w:pos="0"/>
          <w:tab w:val="left" w:pos="2400"/>
        </w:tabs>
        <w:snapToGrid w:val="0"/>
        <w:spacing w:line="360" w:lineRule="auto"/>
        <w:ind w:firstLine="480" w:firstLineChars="200"/>
        <w:rPr>
          <w:rFonts w:ascii="宋体"/>
          <w:sz w:val="24"/>
        </w:rPr>
      </w:pPr>
      <w:r>
        <w:rPr>
          <w:rFonts w:hint="eastAsia" w:ascii="宋体"/>
          <w:sz w:val="24"/>
        </w:rPr>
        <w:t>股东大会通知和补充通知中应当充分、完整披露所有提案的全部具体内容。拟讨论的事项需要独立董事发表意见的，发布股东大会通知或补充通知时将同时披露独立董事的意见及理由。</w:t>
      </w:r>
    </w:p>
    <w:p>
      <w:pPr>
        <w:tabs>
          <w:tab w:val="left" w:pos="0"/>
          <w:tab w:val="left" w:pos="2400"/>
        </w:tabs>
        <w:snapToGrid w:val="0"/>
        <w:spacing w:line="360" w:lineRule="auto"/>
        <w:ind w:firstLine="480" w:firstLineChars="200"/>
        <w:rPr>
          <w:rFonts w:ascii="宋体"/>
          <w:sz w:val="24"/>
        </w:rPr>
      </w:pPr>
      <w:r>
        <w:rPr>
          <w:rFonts w:hint="eastAsia" w:ascii="宋体"/>
          <w:sz w:val="24"/>
        </w:rPr>
        <w:t xml:space="preserve">股东大会网络或其他方式投票的开始时间，不得早于现场股东大会召开前一日下午3:00，并不得迟于现场股东大会召开当日上午9:30，其结束时间不得早于现场股东大会结束当日下午3:00。 </w:t>
      </w:r>
    </w:p>
    <w:p>
      <w:pPr>
        <w:numPr>
          <w:ilvl w:val="12"/>
          <w:numId w:val="0"/>
        </w:numPr>
        <w:tabs>
          <w:tab w:val="left" w:pos="0"/>
          <w:tab w:val="left" w:pos="2400"/>
        </w:tabs>
        <w:snapToGrid w:val="0"/>
        <w:spacing w:line="360" w:lineRule="auto"/>
        <w:ind w:firstLine="480" w:firstLineChars="200"/>
        <w:rPr>
          <w:rFonts w:ascii="宋体"/>
          <w:sz w:val="24"/>
        </w:rPr>
      </w:pPr>
      <w:r>
        <w:rPr>
          <w:rFonts w:hint="eastAsia" w:ascii="宋体"/>
          <w:sz w:val="24"/>
        </w:rPr>
        <w:t>股权登记日与会议日期之间的间隔应当不多于七个工作日。股权登记日一旦确认，不得变更。</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4.2.6  股东大会拟讨论董事、监事选举事项的，股东大会通知中应当充分披露董事、监事候选人的详细资料，至少包括以下内容：</w:t>
      </w:r>
    </w:p>
    <w:p>
      <w:pPr>
        <w:tabs>
          <w:tab w:val="left" w:pos="0"/>
          <w:tab w:val="left" w:pos="2400"/>
        </w:tabs>
        <w:snapToGrid w:val="0"/>
        <w:spacing w:line="360" w:lineRule="auto"/>
        <w:rPr>
          <w:rFonts w:ascii="宋体"/>
          <w:sz w:val="24"/>
        </w:rPr>
      </w:pPr>
      <w:r>
        <w:rPr>
          <w:rFonts w:hint="eastAsia" w:ascii="宋体"/>
          <w:sz w:val="24"/>
        </w:rPr>
        <w:t>（一）教育背景、工作经历、兼职等个人情况；</w:t>
      </w:r>
    </w:p>
    <w:p>
      <w:pPr>
        <w:tabs>
          <w:tab w:val="left" w:pos="0"/>
          <w:tab w:val="left" w:pos="2400"/>
        </w:tabs>
        <w:snapToGrid w:val="0"/>
        <w:spacing w:line="360" w:lineRule="auto"/>
        <w:rPr>
          <w:rFonts w:ascii="宋体"/>
          <w:sz w:val="24"/>
        </w:rPr>
      </w:pPr>
      <w:r>
        <w:rPr>
          <w:rFonts w:hint="eastAsia" w:ascii="宋体"/>
          <w:sz w:val="24"/>
        </w:rPr>
        <w:t>（二）与公司或其控股股东及实际控制人是否存在关联关系；</w:t>
      </w:r>
    </w:p>
    <w:p>
      <w:pPr>
        <w:tabs>
          <w:tab w:val="left" w:pos="0"/>
          <w:tab w:val="left" w:pos="2400"/>
        </w:tabs>
        <w:snapToGrid w:val="0"/>
        <w:spacing w:line="360" w:lineRule="auto"/>
        <w:rPr>
          <w:rFonts w:ascii="宋体"/>
          <w:sz w:val="24"/>
        </w:rPr>
      </w:pPr>
      <w:r>
        <w:rPr>
          <w:rFonts w:hint="eastAsia" w:ascii="宋体"/>
          <w:sz w:val="24"/>
        </w:rPr>
        <w:t>（三）披露持有上市公司股份数量；</w:t>
      </w:r>
    </w:p>
    <w:p>
      <w:pPr>
        <w:tabs>
          <w:tab w:val="left" w:pos="0"/>
          <w:tab w:val="left" w:pos="2400"/>
        </w:tabs>
        <w:snapToGrid w:val="0"/>
        <w:spacing w:line="360" w:lineRule="auto"/>
        <w:rPr>
          <w:rFonts w:ascii="宋体"/>
          <w:sz w:val="24"/>
        </w:rPr>
      </w:pPr>
      <w:r>
        <w:rPr>
          <w:rFonts w:hint="eastAsia" w:ascii="宋体"/>
          <w:sz w:val="24"/>
        </w:rPr>
        <w:t>（四）是否受过中国证监会及其他有关部门的处罚和证券交易所惩戒。</w:t>
      </w:r>
    </w:p>
    <w:p>
      <w:pPr>
        <w:tabs>
          <w:tab w:val="left" w:pos="0"/>
          <w:tab w:val="left" w:pos="2400"/>
        </w:tabs>
        <w:snapToGrid w:val="0"/>
        <w:spacing w:line="360" w:lineRule="auto"/>
        <w:rPr>
          <w:rFonts w:ascii="宋体"/>
          <w:sz w:val="24"/>
        </w:rPr>
      </w:pPr>
      <w:r>
        <w:rPr>
          <w:rFonts w:hint="eastAsia" w:ascii="宋体"/>
          <w:sz w:val="24"/>
        </w:rPr>
        <w:t>除采取累积投票制选举董事、监事外，每位董事、监事候选人应当以单项提案提出。</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4.2.7</w:t>
      </w:r>
      <w:r>
        <w:rPr>
          <w:rFonts w:ascii="宋体"/>
          <w:sz w:val="24"/>
        </w:rPr>
        <w:t xml:space="preserve">  </w:t>
      </w:r>
      <w:r>
        <w:rPr>
          <w:rFonts w:hint="eastAsia" w:ascii="宋体"/>
          <w:sz w:val="24"/>
        </w:rPr>
        <w:t>股东大会通知应当向股东（不论在股东大会上是否有表决权）以专人送出或者以邮资已付的邮件送出，受件人地址以股东名册登记的地址为准。</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4.2.8  对内资股股东，股东大会通知也可以用在报章上刊登公告的方式进行。 公告应在国务院证券主管机构指定的一家或者多家报刊上刊登，一经公告，视为所有内资股股东已收到有关股东会议的通知。</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4.2.9  对外资股股东，股东大会通知须在报章公告，同时通知香港联交所、香港股份过户登记处及其他会议相关机构及人士，股东大会的会议通知可委托香港证券登记公司向公司在册股东发送。</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4.2.10</w:t>
      </w:r>
      <w:r>
        <w:rPr>
          <w:rFonts w:ascii="宋体"/>
          <w:sz w:val="24"/>
        </w:rPr>
        <w:t xml:space="preserve">  </w:t>
      </w:r>
      <w:r>
        <w:rPr>
          <w:rFonts w:hint="eastAsia" w:ascii="宋体"/>
          <w:sz w:val="24"/>
        </w:rPr>
        <w:t>因意外遗漏未向某有权得到通知的人送出会议通知或该等人士没有收到会议通知，会议及会议作出的决议并不因此无效。</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jc w:val="center"/>
        <w:rPr>
          <w:rFonts w:ascii="黑体" w:eastAsia="黑体"/>
          <w:b/>
          <w:sz w:val="24"/>
        </w:rPr>
      </w:pPr>
      <w:r>
        <w:rPr>
          <w:rFonts w:hint="eastAsia" w:ascii="黑体" w:eastAsia="黑体"/>
          <w:b/>
          <w:sz w:val="24"/>
        </w:rPr>
        <w:t>第三节    股东委托代理人</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4.3.1</w:t>
      </w:r>
      <w:r>
        <w:rPr>
          <w:rFonts w:ascii="宋体"/>
          <w:sz w:val="24"/>
        </w:rPr>
        <w:t xml:space="preserve">  </w:t>
      </w:r>
      <w:r>
        <w:rPr>
          <w:rFonts w:hint="eastAsia" w:ascii="宋体"/>
          <w:sz w:val="24"/>
        </w:rPr>
        <w:t>任何有权出席股东大会并有权表决的股东，有权委任一人（该人可以不是股东）作为其股东代理人，代为出席和表决；该股东代理人依照该股东的委托，可以行使下列权利：</w:t>
      </w:r>
    </w:p>
    <w:p>
      <w:pPr>
        <w:numPr>
          <w:ilvl w:val="0"/>
          <w:numId w:val="9"/>
        </w:numPr>
        <w:tabs>
          <w:tab w:val="left" w:pos="0"/>
          <w:tab w:val="left" w:pos="2400"/>
        </w:tabs>
        <w:snapToGrid w:val="0"/>
        <w:spacing w:line="360" w:lineRule="auto"/>
        <w:rPr>
          <w:rFonts w:ascii="宋体"/>
          <w:sz w:val="24"/>
        </w:rPr>
      </w:pPr>
      <w:r>
        <w:rPr>
          <w:rFonts w:hint="eastAsia" w:ascii="宋体"/>
          <w:sz w:val="24"/>
        </w:rPr>
        <w:t>该股东在股东大会上的发言权；</w:t>
      </w:r>
    </w:p>
    <w:p>
      <w:pPr>
        <w:numPr>
          <w:ilvl w:val="0"/>
          <w:numId w:val="9"/>
        </w:numPr>
        <w:tabs>
          <w:tab w:val="left" w:pos="0"/>
          <w:tab w:val="left" w:pos="2400"/>
        </w:tabs>
        <w:snapToGrid w:val="0"/>
        <w:spacing w:line="360" w:lineRule="auto"/>
        <w:rPr>
          <w:rFonts w:ascii="宋体"/>
          <w:sz w:val="24"/>
        </w:rPr>
      </w:pPr>
      <w:r>
        <w:rPr>
          <w:rFonts w:hint="eastAsia" w:ascii="宋体"/>
          <w:sz w:val="24"/>
        </w:rPr>
        <w:t>投票表决权。</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4.3.2</w:t>
      </w:r>
      <w:r>
        <w:rPr>
          <w:rFonts w:ascii="宋体"/>
          <w:sz w:val="24"/>
        </w:rPr>
        <w:t xml:space="preserve">  </w:t>
      </w:r>
      <w:r>
        <w:rPr>
          <w:rFonts w:hint="eastAsia" w:ascii="宋体"/>
          <w:sz w:val="24"/>
        </w:rPr>
        <w:t>股东应当以书面形式</w:t>
      </w:r>
      <w:r>
        <w:rPr>
          <w:rFonts w:ascii="宋体" w:hAnsi="宋体"/>
          <w:sz w:val="24"/>
          <w:szCs w:val="24"/>
        </w:rPr>
        <w:t>(</w:t>
      </w:r>
      <w:r>
        <w:rPr>
          <w:rFonts w:hint="eastAsia" w:ascii="宋体" w:hAnsi="宋体"/>
          <w:sz w:val="24"/>
          <w:szCs w:val="24"/>
        </w:rPr>
        <w:t>包括本公司就指定股东大会提供的表决代理委托书</w:t>
      </w:r>
      <w:r>
        <w:rPr>
          <w:rFonts w:ascii="宋体" w:hAnsi="宋体"/>
          <w:sz w:val="24"/>
          <w:szCs w:val="24"/>
        </w:rPr>
        <w:t>)</w:t>
      </w:r>
      <w:r>
        <w:rPr>
          <w:rFonts w:hint="eastAsia" w:ascii="宋体"/>
          <w:sz w:val="24"/>
        </w:rPr>
        <w:t>委托代理人，由委托人签署或由其以书面形式委托的代理人签署；委托人为法人的，应当加盖法人印章或者由其董事或者正式委任的代理人签署。</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4.3.3</w:t>
      </w:r>
      <w:r>
        <w:rPr>
          <w:rFonts w:ascii="宋体"/>
          <w:sz w:val="24"/>
        </w:rPr>
        <w:t xml:space="preserve">  </w:t>
      </w:r>
      <w:r>
        <w:rPr>
          <w:rFonts w:hint="eastAsia" w:ascii="宋体"/>
          <w:sz w:val="24"/>
        </w:rPr>
        <w:t>表决代理委托书至少应当在该委托书委托表决的有关会议召开前二十四小时，或者在指定表决时间前二十四小时，备置于公司住所或召集会议的通知中指定的其他地方。委托书由委托人授权他人签署的，授权签署的授权书或其他授权文件应当经过公证。经公证的授权书或者其他授权文件，</w:t>
      </w:r>
      <w:r>
        <w:rPr>
          <w:rFonts w:ascii="宋体"/>
          <w:sz w:val="24"/>
        </w:rPr>
        <w:t xml:space="preserve"> </w:t>
      </w:r>
      <w:r>
        <w:rPr>
          <w:rFonts w:hint="eastAsia" w:ascii="宋体"/>
          <w:sz w:val="24"/>
        </w:rPr>
        <w:t>应当和表决代理委托书同时备置于公司住所或者召集会议的通知中指定的其他地方。</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4.3.4  委托人为法人的，其法定代表人或者董事会、其他决策机构决议授权的人作为代表出席公司的股东大会。</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4.3.5</w:t>
      </w:r>
      <w:r>
        <w:rPr>
          <w:rFonts w:ascii="宋体"/>
          <w:sz w:val="24"/>
        </w:rPr>
        <w:t xml:space="preserve">  </w:t>
      </w:r>
      <w:r>
        <w:rPr>
          <w:rFonts w:hint="eastAsia" w:ascii="宋体"/>
          <w:sz w:val="24"/>
        </w:rPr>
        <w:t>任何由公司董事会发给股东用于任命股东代理人的委托书的格式，应当让股东自由选择指示股东代理人投赞成票或反对票，并就会议每项议题所要作出表决的事项分别作出指示。委托书应当注明如果股东不作具体指示，股东代理人是否可以按自已的意思表决。</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4.3.6  公司的股东，若是按香港证券及期货（结算公司）条例（香港法例第420章）定义的认可的结算公司（“结算公司”），可授权一名或多名人士担任代表出席公司的任何股东会或公司任何类别股东的股东会，但倘若授权人多于一位，则授权书必须订明与该人士获授权有关的股份类别及数目。一名获授权的人士将有权代表结算公司（或其代理人）行使权力，正如结算公司（或其代理人）是公司个别的股东一样。</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4.3.7</w:t>
      </w:r>
      <w:r>
        <w:rPr>
          <w:rFonts w:ascii="宋体"/>
          <w:sz w:val="24"/>
        </w:rPr>
        <w:t xml:space="preserve">  </w:t>
      </w:r>
      <w:r>
        <w:rPr>
          <w:rFonts w:hint="eastAsia" w:ascii="宋体"/>
          <w:sz w:val="24"/>
        </w:rPr>
        <w:t>表决前委托人已经去世、丧失行为能力、撤回委任、撤回签署委任的授权或者有关股份已被转让的，只要公司在有关会议开始前没有收到该等事项的书面通知，由股东代理人依委托书所作出的表决仍然有效。</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jc w:val="center"/>
        <w:rPr>
          <w:rFonts w:ascii="黑体" w:eastAsia="黑体"/>
          <w:b/>
          <w:sz w:val="24"/>
        </w:rPr>
      </w:pPr>
      <w:r>
        <w:rPr>
          <w:rFonts w:hint="eastAsia" w:ascii="黑体" w:eastAsia="黑体"/>
          <w:b/>
          <w:sz w:val="24"/>
        </w:rPr>
        <w:t>第四节    会议主持人</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4.4.1</w:t>
      </w:r>
      <w:r>
        <w:rPr>
          <w:rFonts w:ascii="宋体"/>
          <w:sz w:val="24"/>
        </w:rPr>
        <w:t xml:space="preserve">  </w:t>
      </w:r>
      <w:r>
        <w:rPr>
          <w:rFonts w:hint="eastAsia" w:ascii="宋体"/>
          <w:sz w:val="24"/>
        </w:rPr>
        <w:t>主持股东大会的人是会议主持人。股东大会由董事会召集，董事长主持；董事长不能履行职务或者不履行职务的，由半数以上董事共同推举一名董事主持。如因任何理由，没有推举出一名董事主持，应当由出席会议的持有最多表决权股份的股东（包括股东代理人）担任会议主持。</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4.4.2</w:t>
      </w:r>
      <w:r>
        <w:rPr>
          <w:rFonts w:ascii="宋体"/>
          <w:sz w:val="24"/>
        </w:rPr>
        <w:t xml:space="preserve">    </w:t>
      </w:r>
      <w:r>
        <w:rPr>
          <w:rFonts w:hint="eastAsia" w:ascii="宋体"/>
          <w:sz w:val="24"/>
        </w:rPr>
        <w:t>会议主持人如果对提交表决的决议结果有任何怀疑，可以对所投票数进行点算；如果会议主持人未进行点票，出席会议的股东或者股东代理人对会议主持人宣布结果有异议的，有权在宣布后立即要求点票，会议主持人应当即时进行点票。</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jc w:val="center"/>
        <w:rPr>
          <w:rFonts w:ascii="黑体" w:eastAsia="黑体"/>
          <w:b/>
          <w:sz w:val="24"/>
        </w:rPr>
      </w:pPr>
      <w:r>
        <w:rPr>
          <w:rFonts w:hint="eastAsia" w:ascii="黑体" w:eastAsia="黑体"/>
          <w:b/>
          <w:sz w:val="24"/>
        </w:rPr>
        <w:t>第五节    会议提案</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4.5.1  股东大会的提案是针对应当由股东大会讨论的事项所提出的具体议案，股东大会应当对具体的提案作出决议。</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4.5.2  董事会在召开股东大会的通知中应列出本次股东大会讨论的事项，并将董事会提出的所有提案的内容充分披露。需要变更前次股东大会决议涉及的事项的，提案内容应当完整，不能只列出变更的内容。</w:t>
      </w:r>
    </w:p>
    <w:p>
      <w:pPr>
        <w:tabs>
          <w:tab w:val="left" w:pos="0"/>
          <w:tab w:val="left" w:pos="2400"/>
        </w:tabs>
        <w:snapToGrid w:val="0"/>
        <w:spacing w:line="360" w:lineRule="auto"/>
        <w:rPr>
          <w:rFonts w:ascii="宋体"/>
          <w:sz w:val="24"/>
        </w:rPr>
      </w:pPr>
      <w:r>
        <w:rPr>
          <w:rFonts w:hint="eastAsia" w:ascii="宋体"/>
          <w:sz w:val="24"/>
        </w:rPr>
        <w:t xml:space="preserve">    列入“其他事项”但未明确具体内容的，不能视为提案，股东大会不得进行表决。</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4.5.3  会议通知发出后，董事会不得再提出会议通知中未列出事项的新提案，对原有提案的修改应当在股东大会召开的前五天公告。否则，会议召开日期应当顺延，保证至少有五天的间隔期。</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szCs w:val="22"/>
        </w:rPr>
      </w:pPr>
      <w:r>
        <w:rPr>
          <w:rFonts w:hint="eastAsia" w:ascii="宋体"/>
          <w:sz w:val="24"/>
        </w:rPr>
        <w:t>4.5.4  年度股东大会，董事会、监事会以及单独或者合并持有公司3%以上股份的股东，有权向公司提出提案。单独或者合计持有公司3%以上股份的股东，可以在股东大会召开10日前提出临时提案并书面提交召集人。</w:t>
      </w:r>
      <w:r>
        <w:rPr>
          <w:rFonts w:hint="eastAsia" w:ascii="宋体"/>
          <w:sz w:val="24"/>
          <w:szCs w:val="22"/>
        </w:rPr>
        <w:t>召集人应当在收到提案后2日内发出股东大会补充通知，公告临时提案的内容。除前款规定的情形外，召集人在发出股东大会通知公告后，不得修改股东大会通知中已列明的提案或增加新的提案。</w:t>
      </w:r>
    </w:p>
    <w:p>
      <w:pPr>
        <w:tabs>
          <w:tab w:val="left" w:pos="0"/>
          <w:tab w:val="left" w:pos="2400"/>
        </w:tabs>
        <w:snapToGrid w:val="0"/>
        <w:spacing w:line="360" w:lineRule="auto"/>
        <w:rPr>
          <w:rFonts w:ascii="宋体"/>
          <w:sz w:val="24"/>
        </w:rPr>
      </w:pPr>
      <w:r>
        <w:rPr>
          <w:rFonts w:hint="eastAsia" w:ascii="宋体"/>
          <w:sz w:val="24"/>
        </w:rPr>
        <w:t xml:space="preserve">    第一大股东提出新的分配方案时，应当在年度股东大会召开的前十天提交董事会并由董事会公告，不足十天的，第一大股东不得在本次年度股东大会提出新的分配提案。</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4.5.5  对于前条所述的股东大会临时提案，董事会按以下原则对提案进行审核：</w:t>
      </w:r>
    </w:p>
    <w:p>
      <w:pPr>
        <w:numPr>
          <w:ilvl w:val="0"/>
          <w:numId w:val="10"/>
        </w:numPr>
        <w:tabs>
          <w:tab w:val="left" w:pos="0"/>
          <w:tab w:val="left" w:pos="2400"/>
        </w:tabs>
        <w:snapToGrid w:val="0"/>
        <w:spacing w:line="360" w:lineRule="auto"/>
        <w:rPr>
          <w:rFonts w:ascii="宋体"/>
          <w:sz w:val="24"/>
        </w:rPr>
      </w:pPr>
      <w:r>
        <w:rPr>
          <w:rFonts w:hint="eastAsia" w:ascii="宋体"/>
          <w:sz w:val="24"/>
        </w:rPr>
        <w:t>关联性。董事会对股东提案进行审核，对于股东提案涉及事项与公司有直接关系，并且不超出法律、法规和公司章程规定的股东大会职权范围，应提交股东大会讨论。对于不符合上述要求的，不提交股东大会讨论。</w:t>
      </w:r>
    </w:p>
    <w:p>
      <w:pPr>
        <w:tabs>
          <w:tab w:val="left" w:pos="0"/>
          <w:tab w:val="left" w:pos="2400"/>
        </w:tabs>
        <w:snapToGrid w:val="0"/>
        <w:spacing w:line="360" w:lineRule="auto"/>
        <w:rPr>
          <w:rFonts w:ascii="宋体"/>
          <w:sz w:val="24"/>
        </w:rPr>
      </w:pPr>
      <w:r>
        <w:rPr>
          <w:rFonts w:hint="eastAsia" w:ascii="宋体"/>
          <w:sz w:val="24"/>
        </w:rPr>
        <w:t xml:space="preserve">          如果董事会决定不将股东提案提交股东大会表决，应当在该次股东</w:t>
      </w:r>
    </w:p>
    <w:p>
      <w:pPr>
        <w:tabs>
          <w:tab w:val="left" w:pos="0"/>
          <w:tab w:val="left" w:pos="2400"/>
        </w:tabs>
        <w:snapToGrid w:val="0"/>
        <w:spacing w:line="360" w:lineRule="auto"/>
        <w:rPr>
          <w:rFonts w:ascii="宋体"/>
          <w:sz w:val="24"/>
        </w:rPr>
      </w:pPr>
      <w:r>
        <w:rPr>
          <w:rFonts w:hint="eastAsia" w:ascii="宋体"/>
          <w:sz w:val="24"/>
        </w:rPr>
        <w:t xml:space="preserve">      大会上进行解释和说明。</w:t>
      </w:r>
    </w:p>
    <w:p>
      <w:pPr>
        <w:numPr>
          <w:ilvl w:val="0"/>
          <w:numId w:val="10"/>
        </w:numPr>
        <w:tabs>
          <w:tab w:val="left" w:pos="0"/>
          <w:tab w:val="left" w:pos="2400"/>
        </w:tabs>
        <w:snapToGrid w:val="0"/>
        <w:spacing w:line="360" w:lineRule="auto"/>
        <w:rPr>
          <w:rFonts w:ascii="宋体"/>
          <w:sz w:val="24"/>
        </w:rPr>
      </w:pPr>
      <w:r>
        <w:rPr>
          <w:rFonts w:hint="eastAsia" w:ascii="宋体"/>
          <w:sz w:val="24"/>
        </w:rPr>
        <w:t>程序性。董事会可以对股东提案涉及的程序性问题作出决定。如将提案进行分拆或合并表决，需征得原提案人同意；原提案人不同意变更的，股东大会会议主持人可就程序性问题提请股东大会做出决定，并按照股东大会决定的程序进行讨论。</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4.5.6  提出涉及投资、资产处置和收购兼并等提案的，应当充分说明该事项的详情，包括：涉及金额、价格（或计价方法）、资产的帐面值、对公司的影响、审批情况等。如果按照有关规定需进行资产评估、审计或出具独立财务顾问报告的，董事会应当在股东大会召开前至少五个工作日公布资产评估情况、审计结果或独立财务顾问报告。</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4.5.7  董事会提出改变募股资金用途提案的，应在召开股东大会的通知中说明改变募股资金用途的原因、新项目的概况及对公司未来的影响。</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4.5.8  涉及公开发行股票等需要报送中国证监会核准的事项，应当作为专项提案提出。</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4.5.9  董事会审议通过年报后，应当对利润分配方案做出决议，并作为年度股东大会的提案。董事会在提出资本公积转增股本方案时，需详细说明转增原因，并在公告中披露。董事会在公告股份派送或资本公积转增方案时，应披露送转前后对比的每股净资产，以及对公司今后发展的影响。</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4.5.10  董事会提出解聘或不再续聘会计师事务所的提案时，应事先通知会计师事务所，并向股东大会说明原因。会计师事务所有权向股东大会陈述意见。</w:t>
      </w:r>
    </w:p>
    <w:p>
      <w:pPr>
        <w:tabs>
          <w:tab w:val="left" w:pos="0"/>
          <w:tab w:val="left" w:pos="2400"/>
        </w:tabs>
        <w:snapToGrid w:val="0"/>
        <w:spacing w:line="360" w:lineRule="auto"/>
        <w:rPr>
          <w:rFonts w:ascii="宋体"/>
          <w:sz w:val="24"/>
        </w:rPr>
      </w:pPr>
      <w:r>
        <w:rPr>
          <w:rFonts w:hint="eastAsia" w:ascii="宋体"/>
          <w:sz w:val="24"/>
        </w:rPr>
        <w:t xml:space="preserve">    非会议期间，董事会因正当理由解聘会计师事务所的，可临时聘请其他会计师事务所，但必须在下一次股东大会上追认通过。</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4.5.11  会计师事务所提出辞聘的，董事会应在下一次股东大会说明原因。辞聘的会计师事务所有责任以书面形式或派人出席股东大会，向股东大会说明公司有无不当。</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4.5.12  在年度股东大会上，监事会应当宣读有关公司过去一年的监督专项报告，内容包括：</w:t>
      </w:r>
    </w:p>
    <w:p>
      <w:pPr>
        <w:numPr>
          <w:ilvl w:val="0"/>
          <w:numId w:val="11"/>
        </w:numPr>
        <w:tabs>
          <w:tab w:val="left" w:pos="0"/>
          <w:tab w:val="left" w:pos="2400"/>
        </w:tabs>
        <w:snapToGrid w:val="0"/>
        <w:spacing w:line="360" w:lineRule="auto"/>
        <w:rPr>
          <w:rFonts w:ascii="宋体"/>
          <w:sz w:val="24"/>
        </w:rPr>
      </w:pPr>
      <w:r>
        <w:rPr>
          <w:rFonts w:hint="eastAsia" w:ascii="宋体"/>
          <w:sz w:val="24"/>
        </w:rPr>
        <w:t>公司财务的检查情况；</w:t>
      </w:r>
    </w:p>
    <w:p>
      <w:pPr>
        <w:numPr>
          <w:ilvl w:val="0"/>
          <w:numId w:val="11"/>
        </w:numPr>
        <w:tabs>
          <w:tab w:val="left" w:pos="0"/>
          <w:tab w:val="left" w:pos="2400"/>
        </w:tabs>
        <w:snapToGrid w:val="0"/>
        <w:spacing w:line="360" w:lineRule="auto"/>
        <w:rPr>
          <w:rFonts w:ascii="宋体"/>
          <w:sz w:val="24"/>
        </w:rPr>
      </w:pPr>
      <w:r>
        <w:rPr>
          <w:rFonts w:hint="eastAsia" w:ascii="宋体"/>
          <w:sz w:val="24"/>
        </w:rPr>
        <w:t>董事、高级管理人员执行公司职务时的尽职情况及对有关法律、法规、公司章程及股东大会决议的执行情况；</w:t>
      </w:r>
    </w:p>
    <w:p>
      <w:pPr>
        <w:numPr>
          <w:ilvl w:val="0"/>
          <w:numId w:val="11"/>
        </w:numPr>
        <w:tabs>
          <w:tab w:val="left" w:pos="0"/>
          <w:tab w:val="left" w:pos="2400"/>
        </w:tabs>
        <w:snapToGrid w:val="0"/>
        <w:spacing w:line="360" w:lineRule="auto"/>
        <w:rPr>
          <w:rFonts w:ascii="宋体"/>
          <w:sz w:val="24"/>
        </w:rPr>
      </w:pPr>
      <w:r>
        <w:rPr>
          <w:rFonts w:hint="eastAsia" w:ascii="宋体"/>
          <w:sz w:val="24"/>
        </w:rPr>
        <w:t>监事会认为应向股东大会报告的其他事项。</w:t>
      </w:r>
    </w:p>
    <w:p>
      <w:pPr>
        <w:tabs>
          <w:tab w:val="left" w:pos="0"/>
          <w:tab w:val="left" w:pos="2400"/>
        </w:tabs>
        <w:snapToGrid w:val="0"/>
        <w:spacing w:line="360" w:lineRule="auto"/>
        <w:rPr>
          <w:rFonts w:ascii="宋体"/>
          <w:sz w:val="24"/>
        </w:rPr>
      </w:pPr>
      <w:r>
        <w:rPr>
          <w:rFonts w:hint="eastAsia" w:ascii="宋体"/>
          <w:sz w:val="24"/>
        </w:rPr>
        <w:t xml:space="preserve">    监事会认为有必要时，还可以对股东大会审议的提案出具意见，并提交独立报告。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jc w:val="center"/>
        <w:rPr>
          <w:rFonts w:ascii="黑体" w:eastAsia="黑体"/>
          <w:b/>
          <w:sz w:val="24"/>
        </w:rPr>
      </w:pPr>
      <w:r>
        <w:rPr>
          <w:rFonts w:hint="eastAsia" w:ascii="黑体" w:eastAsia="黑体"/>
          <w:b/>
          <w:sz w:val="24"/>
        </w:rPr>
        <w:t>第六节    会议表决</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4.6.1  股东（包括股东代理人）在股东大会表决时，以其所代表的有表决权的股份数额行使表决权，每一股份有一票表决权。</w:t>
      </w:r>
    </w:p>
    <w:p>
      <w:pPr>
        <w:tabs>
          <w:tab w:val="left" w:pos="0"/>
          <w:tab w:val="left" w:pos="2400"/>
        </w:tabs>
        <w:snapToGrid w:val="0"/>
        <w:spacing w:line="360" w:lineRule="auto"/>
        <w:rPr>
          <w:rFonts w:ascii="宋体"/>
          <w:sz w:val="24"/>
        </w:rPr>
      </w:pPr>
      <w:r>
        <w:rPr>
          <w:rFonts w:ascii="宋体"/>
          <w:sz w:val="24"/>
        </w:rPr>
        <w:t xml:space="preserve">    </w:t>
      </w:r>
      <w:r>
        <w:rPr>
          <w:rFonts w:hint="eastAsia" w:ascii="宋体"/>
          <w:sz w:val="24"/>
        </w:rPr>
        <w:t>如该股东为证券及期货（结算所）条例所定义的认可结算所，在进行有关表决时，应当遵守当时附加于任何股份类别投票权的任何特权或限制。</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4.6.2</w:t>
      </w:r>
      <w:r>
        <w:rPr>
          <w:rFonts w:ascii="宋体"/>
          <w:sz w:val="24"/>
        </w:rPr>
        <w:t xml:space="preserve">  </w:t>
      </w:r>
      <w:r>
        <w:rPr>
          <w:rFonts w:hint="eastAsia" w:ascii="宋体"/>
          <w:sz w:val="24"/>
        </w:rPr>
        <w:t>股东大会采取记名方式投票表决。</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4.6.3</w:t>
      </w:r>
      <w:r>
        <w:rPr>
          <w:rFonts w:ascii="宋体"/>
          <w:sz w:val="24"/>
        </w:rPr>
        <w:t xml:space="preserve">  </w:t>
      </w:r>
      <w:r>
        <w:rPr>
          <w:rFonts w:hint="eastAsia" w:ascii="宋体"/>
          <w:sz w:val="24"/>
        </w:rPr>
        <w:t>如果要求以投票方式表决的事项是选举主持人或者中止会议，则应当立即进行投票表决；其他要求以投票方式表决的事项，由主持人决定何时举行投票，会议可以继续进行，讨论其他事项，投票结果仍被视为在该会议上所通过的决议。</w:t>
      </w:r>
    </w:p>
    <w:p>
      <w:pPr>
        <w:tabs>
          <w:tab w:val="left" w:pos="0"/>
          <w:tab w:val="left" w:pos="2400"/>
        </w:tabs>
        <w:snapToGrid w:val="0"/>
        <w:spacing w:line="360" w:lineRule="auto"/>
        <w:rPr>
          <w:rFonts w:ascii="宋体"/>
          <w:sz w:val="24"/>
        </w:rPr>
      </w:pPr>
      <w:r>
        <w:rPr>
          <w:rFonts w:hint="eastAsia" w:ascii="宋体"/>
          <w:sz w:val="24"/>
        </w:rPr>
        <w:t xml:space="preserve">    投票结果应尽快宣布。</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4.6.4</w:t>
      </w:r>
      <w:r>
        <w:rPr>
          <w:rFonts w:ascii="宋体"/>
          <w:sz w:val="24"/>
        </w:rPr>
        <w:t xml:space="preserve">  </w:t>
      </w:r>
      <w:r>
        <w:rPr>
          <w:rFonts w:hint="eastAsia" w:ascii="宋体"/>
          <w:sz w:val="24"/>
        </w:rPr>
        <w:t>在投票表决时，有两票或者两票以上表决权的股东（包括股东代理人），不必把所有表决权全部投赞成票或者反对票。</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4.6.5  股东大会对所有列入议事日程的提案应当进行逐项表决，不得以任何理由搁置或不予以表决。年度股东大会对同一事项有不同提案的，应以提案提出的时间顺序进行表决，对事项作出决议。</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4.6.6  股东大会就关联交易进行表决时，涉及关联交易的股东，应当回避表决，上述股东所持表决权不应计入出席股东大会有表决权的股份总数。</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4.6.7  股东大会审议董事、监事选举的提案，应当对每一个董事、监事候选人逐个进行表决。改选董事、监事提案获得通过的，对新任董事、监事在会议结束之后立即就任。</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4.6.8  股东大会如果进行点票，点票结果应当记入会议记录。</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jc w:val="center"/>
        <w:rPr>
          <w:rFonts w:ascii="黑体" w:eastAsia="黑体"/>
          <w:b/>
          <w:sz w:val="24"/>
        </w:rPr>
      </w:pPr>
      <w:r>
        <w:rPr>
          <w:rFonts w:hint="eastAsia" w:ascii="黑体" w:eastAsia="黑体"/>
          <w:b/>
          <w:sz w:val="24"/>
        </w:rPr>
        <w:t>第七节    会议决议</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4.7.1  股东大会决议分为普通决议和特别决议。</w:t>
      </w:r>
    </w:p>
    <w:p>
      <w:pPr>
        <w:tabs>
          <w:tab w:val="left" w:pos="0"/>
          <w:tab w:val="left" w:pos="2400"/>
        </w:tabs>
        <w:snapToGrid w:val="0"/>
        <w:spacing w:line="360" w:lineRule="auto"/>
        <w:rPr>
          <w:rFonts w:ascii="宋体"/>
          <w:sz w:val="24"/>
        </w:rPr>
      </w:pPr>
      <w:r>
        <w:rPr>
          <w:rFonts w:hint="eastAsia" w:ascii="宋体"/>
          <w:sz w:val="24"/>
        </w:rPr>
        <w:t xml:space="preserve">  </w:t>
      </w:r>
      <w:r>
        <w:rPr>
          <w:rFonts w:ascii="宋体"/>
          <w:sz w:val="24"/>
        </w:rPr>
        <w:t xml:space="preserve">  </w:t>
      </w:r>
      <w:r>
        <w:rPr>
          <w:rFonts w:hint="eastAsia" w:ascii="宋体"/>
          <w:sz w:val="24"/>
        </w:rPr>
        <w:t>股东大会作出普通决议，应当由出席股东大会的股东（包括股东代理人）所持表决权的过半数通过。</w:t>
      </w:r>
    </w:p>
    <w:p>
      <w:pPr>
        <w:tabs>
          <w:tab w:val="left" w:pos="0"/>
          <w:tab w:val="left" w:pos="2400"/>
        </w:tabs>
        <w:snapToGrid w:val="0"/>
        <w:spacing w:line="360" w:lineRule="auto"/>
        <w:rPr>
          <w:rFonts w:ascii="宋体"/>
          <w:sz w:val="24"/>
        </w:rPr>
      </w:pPr>
      <w:r>
        <w:rPr>
          <w:rFonts w:hint="eastAsia" w:ascii="宋体"/>
          <w:sz w:val="24"/>
        </w:rPr>
        <w:t xml:space="preserve">  </w:t>
      </w:r>
      <w:r>
        <w:rPr>
          <w:rFonts w:ascii="宋体"/>
          <w:sz w:val="24"/>
        </w:rPr>
        <w:t xml:space="preserve">  </w:t>
      </w:r>
      <w:r>
        <w:rPr>
          <w:rFonts w:hint="eastAsia" w:ascii="宋体"/>
          <w:sz w:val="24"/>
        </w:rPr>
        <w:t>股东大会作出特别决议，应当由出席股东大会的股东（包括股东代理人）所持表决权的三分之二以上通过。</w:t>
      </w:r>
      <w:r>
        <w:rPr>
          <w:rFonts w:ascii="宋体"/>
          <w:b/>
          <w:sz w:val="24"/>
        </w:rPr>
        <w:t xml:space="preserve">  </w:t>
      </w:r>
      <w:r>
        <w:rPr>
          <w:rFonts w:hint="eastAsia" w:ascii="宋体"/>
          <w:b/>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4.7.2  就上款而言，如果任何股东（或其代理人）就其持有的表决权在表决一项议案时，投弃权票或不行使其表决权，所涉及的表决权在计算出席股东大会的股东所持表决权应〔就该项议案而言〕不计算在内。</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4.7.3</w:t>
      </w:r>
      <w:r>
        <w:rPr>
          <w:rFonts w:ascii="宋体"/>
          <w:sz w:val="24"/>
        </w:rPr>
        <w:t xml:space="preserve">  </w:t>
      </w:r>
      <w:r>
        <w:rPr>
          <w:rFonts w:hint="eastAsia" w:ascii="宋体"/>
          <w:sz w:val="24"/>
        </w:rPr>
        <w:t>下列事项须由股东大会以普通决议通过：</w:t>
      </w:r>
    </w:p>
    <w:p>
      <w:pPr>
        <w:numPr>
          <w:ilvl w:val="0"/>
          <w:numId w:val="12"/>
        </w:numPr>
        <w:tabs>
          <w:tab w:val="left" w:pos="0"/>
          <w:tab w:val="left" w:pos="2400"/>
        </w:tabs>
        <w:snapToGrid w:val="0"/>
        <w:spacing w:line="360" w:lineRule="auto"/>
        <w:rPr>
          <w:rFonts w:ascii="宋体"/>
          <w:sz w:val="24"/>
        </w:rPr>
      </w:pPr>
      <w:r>
        <w:rPr>
          <w:rFonts w:hint="eastAsia" w:ascii="宋体"/>
          <w:sz w:val="24"/>
        </w:rPr>
        <w:t>董事会和监事会的工作报告；</w:t>
      </w:r>
    </w:p>
    <w:p>
      <w:pPr>
        <w:numPr>
          <w:ilvl w:val="0"/>
          <w:numId w:val="12"/>
        </w:numPr>
        <w:tabs>
          <w:tab w:val="left" w:pos="0"/>
          <w:tab w:val="left" w:pos="2400"/>
        </w:tabs>
        <w:snapToGrid w:val="0"/>
        <w:spacing w:line="360" w:lineRule="auto"/>
        <w:rPr>
          <w:rFonts w:ascii="宋体"/>
          <w:sz w:val="24"/>
        </w:rPr>
      </w:pPr>
      <w:r>
        <w:rPr>
          <w:rFonts w:hint="eastAsia" w:ascii="宋体"/>
          <w:sz w:val="24"/>
        </w:rPr>
        <w:t>董事会拟订的利润分配方案和亏损弥补方案；</w:t>
      </w:r>
    </w:p>
    <w:p>
      <w:pPr>
        <w:numPr>
          <w:ilvl w:val="0"/>
          <w:numId w:val="12"/>
        </w:numPr>
        <w:tabs>
          <w:tab w:val="left" w:pos="0"/>
          <w:tab w:val="left" w:pos="2400"/>
        </w:tabs>
        <w:snapToGrid w:val="0"/>
        <w:spacing w:line="360" w:lineRule="auto"/>
        <w:rPr>
          <w:rFonts w:ascii="宋体"/>
          <w:sz w:val="24"/>
        </w:rPr>
      </w:pPr>
      <w:r>
        <w:rPr>
          <w:rFonts w:hint="eastAsia" w:ascii="宋体"/>
          <w:sz w:val="24"/>
        </w:rPr>
        <w:t>董事会和监事会成员的罢免及其报酬和支付方法；</w:t>
      </w:r>
    </w:p>
    <w:p>
      <w:pPr>
        <w:numPr>
          <w:ilvl w:val="0"/>
          <w:numId w:val="12"/>
        </w:numPr>
        <w:tabs>
          <w:tab w:val="left" w:pos="0"/>
          <w:tab w:val="left" w:pos="2400"/>
        </w:tabs>
        <w:snapToGrid w:val="0"/>
        <w:spacing w:line="360" w:lineRule="auto"/>
        <w:rPr>
          <w:rFonts w:ascii="宋体"/>
          <w:sz w:val="24"/>
        </w:rPr>
      </w:pPr>
      <w:r>
        <w:rPr>
          <w:rFonts w:hint="eastAsia" w:ascii="宋体"/>
          <w:sz w:val="24"/>
        </w:rPr>
        <w:t>公司年度预、决算报告，资产负债表、利润表及其他财务报表；</w:t>
      </w:r>
    </w:p>
    <w:p>
      <w:pPr>
        <w:numPr>
          <w:ilvl w:val="0"/>
          <w:numId w:val="12"/>
        </w:numPr>
        <w:tabs>
          <w:tab w:val="left" w:pos="0"/>
          <w:tab w:val="left" w:pos="2400"/>
        </w:tabs>
        <w:snapToGrid w:val="0"/>
        <w:spacing w:line="360" w:lineRule="auto"/>
        <w:rPr>
          <w:rFonts w:ascii="宋体"/>
          <w:sz w:val="24"/>
        </w:rPr>
      </w:pPr>
      <w:r>
        <w:rPr>
          <w:rFonts w:hint="eastAsia" w:ascii="宋体"/>
          <w:sz w:val="24"/>
        </w:rPr>
        <w:t xml:space="preserve">公司年度报告；  </w:t>
      </w:r>
    </w:p>
    <w:p>
      <w:pPr>
        <w:numPr>
          <w:ilvl w:val="0"/>
          <w:numId w:val="12"/>
        </w:numPr>
        <w:tabs>
          <w:tab w:val="left" w:pos="0"/>
          <w:tab w:val="left" w:pos="2400"/>
        </w:tabs>
        <w:snapToGrid w:val="0"/>
        <w:spacing w:line="360" w:lineRule="auto"/>
        <w:rPr>
          <w:rFonts w:ascii="宋体"/>
          <w:sz w:val="24"/>
        </w:rPr>
      </w:pPr>
      <w:r>
        <w:rPr>
          <w:rFonts w:hint="eastAsia" w:ascii="宋体"/>
          <w:sz w:val="24"/>
        </w:rPr>
        <w:t>除法律、行政法规规定或者本章程规定应当以特别决议通过以外的其他事项。</w:t>
      </w:r>
      <w:r>
        <w:rPr>
          <w:rFonts w:ascii="宋体"/>
          <w:sz w:val="24"/>
        </w:rPr>
        <w:t xml:space="preserve">      </w:t>
      </w:r>
    </w:p>
    <w:p>
      <w:pPr>
        <w:tabs>
          <w:tab w:val="left" w:pos="0"/>
          <w:tab w:val="left" w:pos="2400"/>
        </w:tabs>
        <w:snapToGrid w:val="0"/>
        <w:spacing w:line="360" w:lineRule="auto"/>
        <w:rPr>
          <w:rFonts w:ascii="宋体"/>
          <w:sz w:val="24"/>
        </w:rPr>
      </w:pP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上述第（三）分段中所述报酬，包括（但不限于）有关董事或监事在失去其董事或监事职位或在其退休时，应该取得的补偿。</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4.7.4</w:t>
      </w:r>
      <w:r>
        <w:rPr>
          <w:rFonts w:ascii="宋体"/>
          <w:sz w:val="24"/>
        </w:rPr>
        <w:t xml:space="preserve">  </w:t>
      </w:r>
      <w:r>
        <w:rPr>
          <w:rFonts w:hint="eastAsia" w:ascii="宋体"/>
          <w:sz w:val="24"/>
        </w:rPr>
        <w:t>下列事项须由股东大会以特别决议通过；</w:t>
      </w:r>
    </w:p>
    <w:p>
      <w:pPr>
        <w:numPr>
          <w:ilvl w:val="0"/>
          <w:numId w:val="13"/>
        </w:numPr>
        <w:tabs>
          <w:tab w:val="left" w:pos="0"/>
          <w:tab w:val="left" w:pos="2400"/>
        </w:tabs>
        <w:snapToGrid w:val="0"/>
        <w:spacing w:line="360" w:lineRule="auto"/>
        <w:rPr>
          <w:rFonts w:ascii="宋体"/>
          <w:sz w:val="24"/>
        </w:rPr>
      </w:pPr>
      <w:r>
        <w:rPr>
          <w:rFonts w:hint="eastAsia" w:ascii="宋体"/>
          <w:sz w:val="24"/>
        </w:rPr>
        <w:t>公司增、减股本和发行任何种类股票、认股权证和其他类似证券；</w:t>
      </w:r>
    </w:p>
    <w:p>
      <w:pPr>
        <w:numPr>
          <w:ilvl w:val="0"/>
          <w:numId w:val="13"/>
        </w:numPr>
        <w:tabs>
          <w:tab w:val="left" w:pos="0"/>
          <w:tab w:val="left" w:pos="2400"/>
        </w:tabs>
        <w:snapToGrid w:val="0"/>
        <w:spacing w:line="360" w:lineRule="auto"/>
        <w:rPr>
          <w:rFonts w:ascii="宋体"/>
          <w:sz w:val="24"/>
        </w:rPr>
      </w:pPr>
      <w:r>
        <w:rPr>
          <w:rFonts w:hint="eastAsia" w:ascii="宋体"/>
          <w:sz w:val="24"/>
        </w:rPr>
        <w:t>发行公司债券；</w:t>
      </w:r>
    </w:p>
    <w:p>
      <w:pPr>
        <w:numPr>
          <w:ilvl w:val="0"/>
          <w:numId w:val="13"/>
        </w:numPr>
        <w:tabs>
          <w:tab w:val="left" w:pos="0"/>
          <w:tab w:val="left" w:pos="2400"/>
        </w:tabs>
        <w:snapToGrid w:val="0"/>
        <w:spacing w:line="360" w:lineRule="auto"/>
        <w:rPr>
          <w:rFonts w:ascii="宋体"/>
          <w:sz w:val="24"/>
        </w:rPr>
      </w:pPr>
      <w:r>
        <w:rPr>
          <w:rFonts w:hint="eastAsia" w:ascii="宋体"/>
          <w:sz w:val="24"/>
        </w:rPr>
        <w:t>公司的分立、合并、解散和清算；</w:t>
      </w:r>
    </w:p>
    <w:p>
      <w:pPr>
        <w:numPr>
          <w:ilvl w:val="0"/>
          <w:numId w:val="13"/>
        </w:numPr>
        <w:tabs>
          <w:tab w:val="left" w:pos="0"/>
          <w:tab w:val="left" w:pos="2400"/>
        </w:tabs>
        <w:snapToGrid w:val="0"/>
        <w:spacing w:line="360" w:lineRule="auto"/>
        <w:rPr>
          <w:rFonts w:ascii="宋体"/>
          <w:sz w:val="24"/>
        </w:rPr>
      </w:pPr>
      <w:r>
        <w:rPr>
          <w:rFonts w:hint="eastAsia" w:ascii="宋体"/>
          <w:sz w:val="24"/>
        </w:rPr>
        <w:t>公司章程的修改；</w:t>
      </w:r>
    </w:p>
    <w:p>
      <w:pPr>
        <w:numPr>
          <w:ilvl w:val="0"/>
          <w:numId w:val="13"/>
        </w:numPr>
        <w:tabs>
          <w:tab w:val="left" w:pos="0"/>
          <w:tab w:val="left" w:pos="2400"/>
        </w:tabs>
        <w:snapToGrid w:val="0"/>
        <w:spacing w:line="360" w:lineRule="auto"/>
        <w:rPr>
          <w:rFonts w:ascii="宋体"/>
          <w:sz w:val="24"/>
        </w:rPr>
      </w:pPr>
      <w:r>
        <w:rPr>
          <w:rFonts w:hint="eastAsia" w:ascii="宋体"/>
          <w:sz w:val="24"/>
        </w:rPr>
        <w:t>股东大会以普通决议通过认为会对公司产生重大影响的、需要以特别决议通过的其他事项。</w:t>
      </w:r>
    </w:p>
    <w:p>
      <w:pPr>
        <w:numPr>
          <w:ilvl w:val="12"/>
          <w:numId w:val="0"/>
        </w:numPr>
        <w:tabs>
          <w:tab w:val="left" w:pos="0"/>
          <w:tab w:val="left" w:pos="2400"/>
        </w:tabs>
        <w:snapToGrid w:val="0"/>
        <w:spacing w:line="360" w:lineRule="auto"/>
        <w:rPr>
          <w:rFonts w:ascii="宋体"/>
          <w:sz w:val="24"/>
        </w:rPr>
      </w:pPr>
      <w:r>
        <w:rPr>
          <w:rFonts w:hint="eastAsia" w:ascii="宋体"/>
          <w:sz w:val="24"/>
        </w:rPr>
        <w:t>（六）公司在一年内购买、出售重大资产或者担保金额超过公司最近一期经审计总资产</w:t>
      </w:r>
      <w:r>
        <w:rPr>
          <w:rFonts w:ascii="宋体"/>
          <w:sz w:val="24"/>
        </w:rPr>
        <w:t>30%</w:t>
      </w:r>
      <w:r>
        <w:rPr>
          <w:rFonts w:hint="eastAsia" w:ascii="宋体"/>
          <w:sz w:val="24"/>
        </w:rPr>
        <w:t>的；</w:t>
      </w:r>
    </w:p>
    <w:p>
      <w:pPr>
        <w:numPr>
          <w:ilvl w:val="12"/>
          <w:numId w:val="0"/>
        </w:numPr>
        <w:tabs>
          <w:tab w:val="left" w:pos="0"/>
          <w:tab w:val="left" w:pos="2400"/>
        </w:tabs>
        <w:snapToGrid w:val="0"/>
        <w:spacing w:line="360" w:lineRule="auto"/>
        <w:rPr>
          <w:rFonts w:ascii="宋体"/>
          <w:sz w:val="24"/>
        </w:rPr>
      </w:pPr>
      <w:r>
        <w:rPr>
          <w:rFonts w:hint="eastAsia" w:ascii="宋体"/>
          <w:sz w:val="24"/>
        </w:rPr>
        <w:t>（七）股权激励计划；</w:t>
      </w:r>
    </w:p>
    <w:p>
      <w:pPr>
        <w:numPr>
          <w:ilvl w:val="12"/>
          <w:numId w:val="0"/>
        </w:numPr>
        <w:tabs>
          <w:tab w:val="left" w:pos="0"/>
          <w:tab w:val="left" w:pos="2400"/>
        </w:tabs>
        <w:snapToGrid w:val="0"/>
        <w:spacing w:line="360" w:lineRule="auto"/>
        <w:rPr>
          <w:rFonts w:ascii="宋体"/>
          <w:sz w:val="24"/>
        </w:rPr>
      </w:pPr>
      <w:r>
        <w:rPr>
          <w:rFonts w:hint="eastAsia" w:ascii="宋体"/>
          <w:sz w:val="24"/>
        </w:rPr>
        <w:t>（八）法律、行政法规或本章程规定的，以及会对公司产生重大影响的、需要以特别决议通过的其他事项。</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4.7.5  会议提案未通过的，或者本次股东大会变更前次股东大会决议的，董事会应在股东大会决议公告中做出说明。</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4.7.6  股东大会对董事会提案作出修改，或对董事会提案以外的事项作出决议，或会议期间发生突发事件导致会议不能正常召开的，公司应当向股票上市交易所说明原因并公告。</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jc w:val="center"/>
        <w:rPr>
          <w:rFonts w:ascii="黑体" w:eastAsia="黑体"/>
          <w:b/>
          <w:sz w:val="24"/>
        </w:rPr>
      </w:pPr>
      <w:r>
        <w:rPr>
          <w:rFonts w:hint="eastAsia" w:ascii="黑体" w:eastAsia="黑体"/>
          <w:b/>
          <w:sz w:val="24"/>
        </w:rPr>
        <w:t>第八节    会后事项</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4.8.1  公司应当在股东大会结束后立即将股东大会决议公告文稿、会议记录和全套会议文件报送股票上市交易所，经交易所审查后，于次日在指定报章上刊登决议公告，并视决议之内容，尽快通知其他有要求的机构及人士。</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4.8.2  下列事项作出决定后，公司须及时通知上市交易所：</w:t>
      </w:r>
    </w:p>
    <w:p>
      <w:pPr>
        <w:numPr>
          <w:ilvl w:val="0"/>
          <w:numId w:val="14"/>
        </w:numPr>
        <w:tabs>
          <w:tab w:val="left" w:pos="0"/>
          <w:tab w:val="left" w:pos="2400"/>
        </w:tabs>
        <w:snapToGrid w:val="0"/>
        <w:spacing w:line="360" w:lineRule="auto"/>
        <w:rPr>
          <w:rFonts w:ascii="宋体"/>
          <w:sz w:val="24"/>
        </w:rPr>
      </w:pPr>
      <w:r>
        <w:rPr>
          <w:rFonts w:hint="eastAsia" w:ascii="宋体"/>
          <w:sz w:val="24"/>
        </w:rPr>
        <w:t>公司章程的修改；</w:t>
      </w:r>
    </w:p>
    <w:p>
      <w:pPr>
        <w:numPr>
          <w:ilvl w:val="0"/>
          <w:numId w:val="14"/>
        </w:numPr>
        <w:tabs>
          <w:tab w:val="left" w:pos="0"/>
          <w:tab w:val="left" w:pos="2400"/>
        </w:tabs>
        <w:snapToGrid w:val="0"/>
        <w:spacing w:line="360" w:lineRule="auto"/>
        <w:rPr>
          <w:rFonts w:ascii="宋体"/>
          <w:sz w:val="24"/>
        </w:rPr>
      </w:pPr>
      <w:r>
        <w:rPr>
          <w:rFonts w:hint="eastAsia" w:ascii="宋体"/>
          <w:sz w:val="24"/>
        </w:rPr>
        <w:t>董事会人员的变动，行政管理职位人选的重要变动；</w:t>
      </w:r>
    </w:p>
    <w:p>
      <w:pPr>
        <w:numPr>
          <w:ilvl w:val="0"/>
          <w:numId w:val="14"/>
        </w:numPr>
        <w:tabs>
          <w:tab w:val="left" w:pos="0"/>
          <w:tab w:val="left" w:pos="2400"/>
        </w:tabs>
        <w:snapToGrid w:val="0"/>
        <w:spacing w:line="360" w:lineRule="auto"/>
        <w:rPr>
          <w:rFonts w:ascii="宋体"/>
          <w:sz w:val="24"/>
        </w:rPr>
      </w:pPr>
      <w:r>
        <w:rPr>
          <w:rFonts w:hint="eastAsia" w:ascii="宋体"/>
          <w:sz w:val="24"/>
        </w:rPr>
        <w:t>股份及相关权利的更改；</w:t>
      </w:r>
    </w:p>
    <w:p>
      <w:pPr>
        <w:numPr>
          <w:ilvl w:val="0"/>
          <w:numId w:val="14"/>
        </w:numPr>
        <w:tabs>
          <w:tab w:val="left" w:pos="0"/>
          <w:tab w:val="left" w:pos="2400"/>
        </w:tabs>
        <w:snapToGrid w:val="0"/>
        <w:spacing w:line="360" w:lineRule="auto"/>
        <w:rPr>
          <w:rFonts w:ascii="宋体"/>
          <w:sz w:val="24"/>
        </w:rPr>
      </w:pPr>
      <w:r>
        <w:rPr>
          <w:rFonts w:hint="eastAsia" w:ascii="宋体"/>
          <w:sz w:val="24"/>
        </w:rPr>
        <w:t>董事会秘书、核数师或在香港的主要营业地点的变动。</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4.8.3  上述4.8.1条、4.8.2条的有关事项，应根据要求及时通知香港公司注册处、香港股份过户登记处、工商行政管理机关等有关机构和人士，或办理有关手续。</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4.8.4  股东大会决议公告应当写明出席会议的股东人数、所持股份及占上市公司有表决权总股本的比例，以及每项议案的表决方式和表决统计结果。对股东提案作出决议的，应当列明提案股东的名称或姓名、持股比例和提案内容。</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4.8.5  股东大会以会议文件等形式向股东通报的重要内容，如未公开披露过的，应当在股东大会决议公告中披露。</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4.8.6  利润分配方案、公积金转赠股本方案经股东大会批准后，董事会应当在股东大会召开两个月内完成股利（或股份）的派发（或转赠）事项。</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4.8.7</w:t>
      </w:r>
      <w:r>
        <w:rPr>
          <w:rFonts w:ascii="宋体"/>
          <w:sz w:val="24"/>
        </w:rPr>
        <w:t xml:space="preserve">  </w:t>
      </w:r>
      <w:r>
        <w:rPr>
          <w:rFonts w:hint="eastAsia" w:ascii="宋体"/>
          <w:sz w:val="24"/>
        </w:rPr>
        <w:t>股东大会应对所议事项的决定作成会议记录，由出席会议的董事签名。 股东大会会议记录连同出席股东的签名簿及代理出席的委托书，应当在公司住所保存。</w:t>
      </w:r>
      <w:r>
        <w:rPr>
          <w:rFonts w:ascii="宋体"/>
          <w:sz w:val="24"/>
        </w:rPr>
        <w:t xml:space="preserve"> </w:t>
      </w:r>
    </w:p>
    <w:p>
      <w:pPr>
        <w:tabs>
          <w:tab w:val="left" w:pos="0"/>
          <w:tab w:val="left" w:pos="2400"/>
        </w:tabs>
        <w:snapToGrid w:val="0"/>
        <w:spacing w:line="360" w:lineRule="auto"/>
        <w:rPr>
          <w:rFonts w:ascii="宋体"/>
          <w:sz w:val="24"/>
        </w:rPr>
      </w:pPr>
      <w:r>
        <w:rPr>
          <w:rFonts w:ascii="宋体"/>
          <w:sz w:val="24"/>
        </w:rPr>
        <w:t xml:space="preserve">  </w:t>
      </w:r>
      <w:r>
        <w:rPr>
          <w:rFonts w:hint="eastAsia" w:ascii="宋体"/>
          <w:sz w:val="24"/>
        </w:rPr>
        <w:t xml:space="preserve">  上述会议记录、签名簿及委托书，十年内不得销毁。</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4.8.8</w:t>
      </w:r>
      <w:r>
        <w:rPr>
          <w:rFonts w:ascii="宋体"/>
          <w:sz w:val="24"/>
        </w:rPr>
        <w:t xml:space="preserve">  </w:t>
      </w:r>
      <w:r>
        <w:rPr>
          <w:rFonts w:hint="eastAsia" w:ascii="宋体"/>
          <w:sz w:val="24"/>
        </w:rPr>
        <w:t>股东可在公司办公时间免费查阅股东大会会议记录复印件。任何股东向公司索取有关会议记录的复印件，公司应在收到合理费用后七日内把复印件送出。</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jc w:val="center"/>
        <w:rPr>
          <w:rFonts w:ascii="黑体" w:eastAsia="黑体"/>
          <w:b/>
          <w:sz w:val="28"/>
        </w:rPr>
      </w:pPr>
      <w:r>
        <w:rPr>
          <w:rFonts w:hint="eastAsia" w:ascii="黑体" w:eastAsia="黑体"/>
          <w:b/>
          <w:sz w:val="28"/>
        </w:rPr>
        <w:t>第五章    独立董事、股东或监事会提议召开临时股东大会</w:t>
      </w:r>
    </w:p>
    <w:p>
      <w:pPr>
        <w:tabs>
          <w:tab w:val="left" w:pos="0"/>
          <w:tab w:val="left" w:pos="2400"/>
        </w:tabs>
        <w:snapToGrid w:val="0"/>
        <w:spacing w:line="360" w:lineRule="auto"/>
        <w:jc w:val="center"/>
        <w:rPr>
          <w:rFonts w:ascii="黑体" w:eastAsia="黑体"/>
          <w:b/>
          <w:sz w:val="28"/>
        </w:rPr>
      </w:pPr>
    </w:p>
    <w:p>
      <w:pPr>
        <w:tabs>
          <w:tab w:val="left" w:pos="0"/>
          <w:tab w:val="left" w:pos="2400"/>
        </w:tabs>
        <w:snapToGrid w:val="0"/>
        <w:spacing w:line="360" w:lineRule="auto"/>
        <w:jc w:val="left"/>
        <w:rPr>
          <w:rFonts w:ascii="宋体" w:hAnsi="宋体" w:cs="宋体"/>
          <w:kern w:val="0"/>
          <w:sz w:val="24"/>
          <w:szCs w:val="24"/>
        </w:rPr>
      </w:pPr>
      <w:r>
        <w:rPr>
          <w:rFonts w:hint="eastAsia" w:ascii="宋体" w:hAnsi="宋体" w:cs="宋体"/>
          <w:kern w:val="0"/>
          <w:sz w:val="24"/>
          <w:szCs w:val="24"/>
        </w:rPr>
        <w:t>5.1  独立董事有权向董事会提议召开临时股东大会。对独立董事要求召开临时股东大会的提议，董事会应当根据法律、行政法规和公司章程的规定，在收到提议后十日内提出同意或不同意召开临时股东大会的书面反馈意见。</w:t>
      </w:r>
    </w:p>
    <w:p>
      <w:pPr>
        <w:snapToGrid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董事会同意召开临时股东大会的，应当在作出董事会决议后的五日内发出召开股东大会的通知；董事会不同意召开临时股东大会的，应当说明理由并公告。</w:t>
      </w:r>
    </w:p>
    <w:p>
      <w:pPr>
        <w:snapToGrid w:val="0"/>
        <w:spacing w:line="360" w:lineRule="auto"/>
        <w:ind w:firstLine="480" w:firstLineChars="200"/>
        <w:rPr>
          <w:rFonts w:ascii="宋体" w:hAnsi="宋体" w:cs="宋体"/>
          <w:kern w:val="0"/>
          <w:sz w:val="24"/>
          <w:szCs w:val="24"/>
        </w:rPr>
      </w:pPr>
    </w:p>
    <w:p>
      <w:pPr>
        <w:snapToGrid w:val="0"/>
        <w:spacing w:line="360" w:lineRule="auto"/>
        <w:rPr>
          <w:rFonts w:ascii="宋体" w:hAnsi="宋体" w:cs="宋体"/>
          <w:kern w:val="0"/>
          <w:sz w:val="24"/>
          <w:szCs w:val="24"/>
        </w:rPr>
      </w:pPr>
      <w:r>
        <w:rPr>
          <w:rFonts w:hint="eastAsia" w:ascii="宋体" w:hAnsi="宋体" w:cs="宋体"/>
          <w:kern w:val="0"/>
          <w:sz w:val="24"/>
          <w:szCs w:val="24"/>
        </w:rPr>
        <w:t>5.2  监事会有权向董事会提议召开临时股东大会，并应当以书面形式向董事会提出。董事会应当根据法律、行政法规和公司章程的规定，在收到提议后十日内提出同意或不同意召开临时股东大会的书面反馈意见。</w:t>
      </w:r>
    </w:p>
    <w:p>
      <w:pPr>
        <w:snapToGri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董事会同意召开临时股东大会的，应当在作出董事会决议后的五日内发出召开股东大会的通知，通知中对原提议的变更，应当征得监事会的同意。</w:t>
      </w:r>
    </w:p>
    <w:p>
      <w:pPr>
        <w:snapToGri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董事会不同意召开临时股东大会，或者在收到提议后十日内未作出书面反馈的，视为董事会不能履行或者不履行召集股东大会会议职责，监事会可以自行召集和主持。</w:t>
      </w:r>
    </w:p>
    <w:p>
      <w:pPr>
        <w:snapToGrid w:val="0"/>
        <w:spacing w:line="360" w:lineRule="auto"/>
        <w:ind w:firstLine="480" w:firstLineChars="200"/>
        <w:rPr>
          <w:rFonts w:ascii="宋体" w:hAnsi="宋体" w:cs="宋体"/>
          <w:kern w:val="0"/>
          <w:sz w:val="24"/>
          <w:szCs w:val="24"/>
        </w:rPr>
      </w:pPr>
    </w:p>
    <w:p>
      <w:pPr>
        <w:snapToGrid w:val="0"/>
        <w:spacing w:line="360" w:lineRule="auto"/>
        <w:rPr>
          <w:rFonts w:ascii="宋体" w:hAnsi="宋体" w:cs="宋体"/>
          <w:kern w:val="0"/>
          <w:sz w:val="24"/>
          <w:szCs w:val="24"/>
        </w:rPr>
      </w:pPr>
      <w:r>
        <w:rPr>
          <w:rFonts w:hint="eastAsia" w:ascii="宋体" w:hAnsi="宋体" w:cs="宋体"/>
          <w:kern w:val="0"/>
          <w:sz w:val="24"/>
          <w:szCs w:val="24"/>
        </w:rPr>
        <w:t xml:space="preserve">5.3 </w:t>
      </w:r>
      <w:bookmarkStart w:id="8" w:name="_DV_C598"/>
      <w:r>
        <w:rPr>
          <w:rStyle w:val="14"/>
          <w:rFonts w:hint="eastAsia" w:ascii="PMingLiU" w:hAnsi="PMingLiU"/>
          <w:color w:val="auto"/>
          <w:sz w:val="24"/>
          <w:szCs w:val="24"/>
          <w:u w:val="none"/>
        </w:rPr>
        <w:t>在一股一票的基准下</w:t>
      </w:r>
      <w:r>
        <w:rPr>
          <w:rFonts w:hint="eastAsia" w:ascii="宋体" w:hAnsi="宋体" w:cs="宋体"/>
          <w:kern w:val="0"/>
        </w:rPr>
        <w:t>，</w:t>
      </w:r>
      <w:bookmarkEnd w:id="8"/>
      <w:r>
        <w:rPr>
          <w:rFonts w:hint="eastAsia" w:ascii="宋体" w:hAnsi="宋体" w:cs="宋体"/>
          <w:kern w:val="0"/>
          <w:sz w:val="24"/>
          <w:szCs w:val="24"/>
        </w:rPr>
        <w:t>单独或者合计持有公司百分之十或以上表决权股份的普通股股东（含表决权恢复的优先股股东）有权向董事会请求召开临时股东大会，并应当以书面形式向董事会提出。董事会应当根据法律、行政法规和公司章程的规定，在收到请求后十日内提出同意或不同意召开临时股东大会的书面反馈意见。</w:t>
      </w:r>
    </w:p>
    <w:p>
      <w:pPr>
        <w:snapToGri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董事会同意召开临时股东大会的，应当在作出董事会决议后的五日内发出召开股东大会的通知，通知中对原请求的变更，应当征得相关股东的同意。</w:t>
      </w:r>
    </w:p>
    <w:p>
      <w:pPr>
        <w:snapToGri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董事会不同意召开临时股东大会，或者在收到请求后十日内未作出反馈的，单独或者合计持有公司百分之十或以上表决权股份的普通股股东（含表决权恢复的优先股股东）有权向监事会提议召开临时股东大会，并应当以书面形式向监事会提出请求。</w:t>
      </w:r>
    </w:p>
    <w:p>
      <w:pPr>
        <w:snapToGri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监事会同意召开临时股东大会的，应在收到请求五日内发出召开股东大会的通知，通知中对原请求的变更，应当征得相关股东的同意。</w:t>
      </w:r>
    </w:p>
    <w:p>
      <w:pPr>
        <w:snapToGri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监事会未在规定期限内发出股东大会通知的，视为监事会不召集和主持股东大会，连续九十日以上单独或者合计持有公司百分之十或以上表决权股份的普通股股东（含表决权恢复的优先股股东）可以自行召集和主持。</w:t>
      </w:r>
    </w:p>
    <w:p>
      <w:pPr>
        <w:snapToGrid w:val="0"/>
        <w:spacing w:line="360" w:lineRule="auto"/>
        <w:ind w:firstLine="480" w:firstLineChars="200"/>
        <w:rPr>
          <w:rFonts w:ascii="宋体" w:hAnsi="宋体" w:cs="宋体"/>
          <w:kern w:val="0"/>
          <w:sz w:val="24"/>
          <w:szCs w:val="24"/>
        </w:rPr>
      </w:pPr>
    </w:p>
    <w:p>
      <w:pPr>
        <w:snapToGrid w:val="0"/>
        <w:spacing w:line="360" w:lineRule="auto"/>
        <w:rPr>
          <w:rFonts w:ascii="宋体" w:hAnsi="宋体" w:cs="宋体"/>
          <w:kern w:val="0"/>
          <w:sz w:val="24"/>
          <w:szCs w:val="24"/>
        </w:rPr>
      </w:pPr>
      <w:r>
        <w:rPr>
          <w:rFonts w:hint="eastAsia" w:ascii="宋体" w:hAnsi="宋体" w:cs="宋体"/>
          <w:kern w:val="0"/>
          <w:sz w:val="24"/>
          <w:szCs w:val="24"/>
        </w:rPr>
        <w:t>5.4 监事会或股东决定自行召集股东大会的，应当书面通知董事会，同时向证券交易所备案。</w:t>
      </w:r>
    </w:p>
    <w:p>
      <w:pPr>
        <w:snapToGri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在股东大会决议公告前，召集普通股股东（含表决权恢复的优先股股东）持股比例不得低于百分之十。</w:t>
      </w:r>
    </w:p>
    <w:p>
      <w:pPr>
        <w:snapToGri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监事会和召集股东应在发出股东大会通知及发布股东大会决议公告时，向证券交易所提交有关证明材料。</w:t>
      </w:r>
    </w:p>
    <w:p>
      <w:pPr>
        <w:snapToGrid w:val="0"/>
        <w:spacing w:line="360" w:lineRule="auto"/>
        <w:ind w:firstLine="480" w:firstLineChars="200"/>
        <w:rPr>
          <w:rFonts w:ascii="宋体" w:hAnsi="宋体" w:cs="宋体"/>
          <w:kern w:val="0"/>
          <w:sz w:val="24"/>
          <w:szCs w:val="24"/>
        </w:rPr>
      </w:pPr>
    </w:p>
    <w:p>
      <w:pPr>
        <w:snapToGrid w:val="0"/>
        <w:spacing w:line="360" w:lineRule="auto"/>
        <w:rPr>
          <w:rFonts w:ascii="宋体" w:hAnsi="宋体" w:cs="宋体"/>
          <w:kern w:val="0"/>
          <w:sz w:val="24"/>
          <w:szCs w:val="24"/>
        </w:rPr>
      </w:pPr>
      <w:r>
        <w:rPr>
          <w:rFonts w:hint="eastAsia" w:ascii="宋体" w:hAnsi="宋体" w:cs="宋体"/>
          <w:kern w:val="0"/>
          <w:sz w:val="24"/>
          <w:szCs w:val="24"/>
        </w:rPr>
        <w:t>5.5 对于监事会或股东自行召集的股东大会，董事会和董事会秘书应予配合。董事会应当提供股权登记日的股东名册。董事会未提供股东名册的，召集人可以持召集股东大会通知的相关公告，向证券登记结算机构申请获取。召集人所获取的股东名册不得用于除召开股东大会以外的其他用途。</w:t>
      </w:r>
    </w:p>
    <w:p>
      <w:pPr>
        <w:snapToGrid w:val="0"/>
        <w:spacing w:line="360" w:lineRule="auto"/>
        <w:ind w:firstLine="470" w:firstLineChars="196"/>
        <w:rPr>
          <w:rFonts w:ascii="宋体" w:hAnsi="宋体" w:cs="宋体"/>
          <w:kern w:val="0"/>
          <w:sz w:val="24"/>
          <w:szCs w:val="24"/>
        </w:rPr>
      </w:pPr>
    </w:p>
    <w:p>
      <w:pPr>
        <w:numPr>
          <w:ilvl w:val="12"/>
          <w:numId w:val="0"/>
        </w:numPr>
        <w:tabs>
          <w:tab w:val="left" w:pos="0"/>
          <w:tab w:val="left" w:pos="2400"/>
        </w:tabs>
        <w:snapToGrid w:val="0"/>
        <w:spacing w:line="360" w:lineRule="auto"/>
        <w:rPr>
          <w:rFonts w:ascii="宋体"/>
          <w:sz w:val="24"/>
        </w:rPr>
      </w:pPr>
      <w:r>
        <w:rPr>
          <w:rFonts w:hint="eastAsia" w:ascii="宋体"/>
          <w:sz w:val="24"/>
        </w:rPr>
        <w:t>5.6 对于</w:t>
      </w:r>
      <w:r>
        <w:rPr>
          <w:rFonts w:hint="eastAsia" w:ascii="宋体" w:hAnsi="宋体" w:cs="宋体"/>
          <w:kern w:val="0"/>
          <w:sz w:val="24"/>
          <w:szCs w:val="24"/>
        </w:rPr>
        <w:t>监事会或</w:t>
      </w:r>
      <w:r>
        <w:rPr>
          <w:rFonts w:hint="eastAsia" w:ascii="宋体"/>
          <w:sz w:val="24"/>
        </w:rPr>
        <w:t>提议股东决定自行召开的临时股东大会，董事会及董事会秘书应切实履行职责。董事会应当保证会议的正常秩序，会议费用的合理开支由公司承担。会议召开程序应当符合以下规定：</w:t>
      </w:r>
    </w:p>
    <w:p>
      <w:pPr>
        <w:numPr>
          <w:ilvl w:val="0"/>
          <w:numId w:val="15"/>
        </w:numPr>
        <w:tabs>
          <w:tab w:val="left" w:pos="0"/>
          <w:tab w:val="left" w:pos="2400"/>
        </w:tabs>
        <w:snapToGrid w:val="0"/>
        <w:spacing w:line="360" w:lineRule="auto"/>
        <w:rPr>
          <w:rFonts w:ascii="宋体"/>
          <w:sz w:val="24"/>
        </w:rPr>
      </w:pPr>
      <w:r>
        <w:rPr>
          <w:rFonts w:hint="eastAsia" w:ascii="宋体"/>
          <w:sz w:val="24"/>
        </w:rPr>
        <w:t>会议由董事会负责召集，董事会秘书必须出席会议，董事、监事应当出席会议，董事长因特殊原因不能履行职务时，由其他董事主持；</w:t>
      </w:r>
    </w:p>
    <w:p>
      <w:pPr>
        <w:numPr>
          <w:ilvl w:val="0"/>
          <w:numId w:val="15"/>
        </w:numPr>
        <w:tabs>
          <w:tab w:val="left" w:pos="0"/>
          <w:tab w:val="left" w:pos="2400"/>
        </w:tabs>
        <w:snapToGrid w:val="0"/>
        <w:spacing w:line="360" w:lineRule="auto"/>
        <w:rPr>
          <w:rFonts w:ascii="宋体"/>
          <w:sz w:val="24"/>
        </w:rPr>
      </w:pPr>
      <w:r>
        <w:rPr>
          <w:rFonts w:hint="eastAsia" w:ascii="宋体"/>
          <w:sz w:val="24"/>
        </w:rPr>
        <w:t>董事会应当聘请律师，按本规则第4.1.</w:t>
      </w:r>
      <w:r>
        <w:rPr>
          <w:rFonts w:ascii="宋体"/>
          <w:sz w:val="24"/>
        </w:rPr>
        <w:t>3</w:t>
      </w:r>
      <w:r>
        <w:rPr>
          <w:rFonts w:hint="eastAsia" w:ascii="宋体"/>
          <w:sz w:val="24"/>
        </w:rPr>
        <w:t>条的规定，出具法律意见；</w:t>
      </w:r>
    </w:p>
    <w:p>
      <w:pPr>
        <w:numPr>
          <w:ilvl w:val="0"/>
          <w:numId w:val="15"/>
        </w:numPr>
        <w:tabs>
          <w:tab w:val="left" w:pos="0"/>
          <w:tab w:val="left" w:pos="2400"/>
        </w:tabs>
        <w:snapToGrid w:val="0"/>
        <w:spacing w:line="360" w:lineRule="auto"/>
        <w:rPr>
          <w:rFonts w:ascii="宋体"/>
          <w:sz w:val="24"/>
        </w:rPr>
      </w:pPr>
      <w:r>
        <w:rPr>
          <w:rFonts w:hint="eastAsia" w:ascii="宋体"/>
          <w:sz w:val="24"/>
        </w:rPr>
        <w:t>召开程序应当符合本规则相关条款的规定。</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5.7  临时股东大会不得对通告中未载明的事项进行表决。临时股东大会审议通告中列明的提案内容时，对涉及本规则第3.2条所列的事项的提案内容不得进行变更；任何变更都应视为一个新的提案，不得在本次股东大会上进行表决。</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jc w:val="center"/>
        <w:rPr>
          <w:rFonts w:ascii="黑体" w:eastAsia="黑体"/>
          <w:sz w:val="28"/>
        </w:rPr>
      </w:pPr>
      <w:r>
        <w:rPr>
          <w:rFonts w:hint="eastAsia" w:ascii="黑体" w:eastAsia="黑体"/>
          <w:b/>
          <w:sz w:val="28"/>
        </w:rPr>
        <w:t>第六章</w:t>
      </w:r>
      <w:r>
        <w:rPr>
          <w:rFonts w:ascii="黑体" w:eastAsia="黑体"/>
          <w:b/>
          <w:sz w:val="28"/>
        </w:rPr>
        <w:t xml:space="preserve">    </w:t>
      </w:r>
      <w:r>
        <w:rPr>
          <w:rFonts w:hint="eastAsia" w:ascii="黑体" w:eastAsia="黑体"/>
          <w:b/>
          <w:sz w:val="28"/>
        </w:rPr>
        <w:t>类别股东大会</w:t>
      </w:r>
    </w:p>
    <w:p>
      <w:pPr>
        <w:tabs>
          <w:tab w:val="left" w:pos="0"/>
          <w:tab w:val="left" w:pos="2400"/>
        </w:tabs>
        <w:snapToGrid w:val="0"/>
        <w:spacing w:line="360" w:lineRule="auto"/>
        <w:jc w:val="center"/>
        <w:rPr>
          <w:rFonts w:ascii="宋体"/>
          <w:sz w:val="24"/>
        </w:rPr>
      </w:pPr>
    </w:p>
    <w:p>
      <w:pPr>
        <w:tabs>
          <w:tab w:val="left" w:pos="0"/>
          <w:tab w:val="left" w:pos="2400"/>
        </w:tabs>
        <w:snapToGrid w:val="0"/>
        <w:spacing w:line="360" w:lineRule="auto"/>
        <w:rPr>
          <w:rFonts w:ascii="宋体"/>
          <w:sz w:val="24"/>
        </w:rPr>
      </w:pPr>
      <w:r>
        <w:rPr>
          <w:rFonts w:hint="eastAsia" w:ascii="宋体"/>
          <w:sz w:val="24"/>
        </w:rPr>
        <w:t>6.1</w:t>
      </w:r>
      <w:r>
        <w:rPr>
          <w:rFonts w:ascii="宋体"/>
          <w:sz w:val="24"/>
        </w:rPr>
        <w:t xml:space="preserve">  </w:t>
      </w:r>
      <w:r>
        <w:rPr>
          <w:rFonts w:hint="eastAsia" w:ascii="宋体"/>
          <w:sz w:val="24"/>
        </w:rPr>
        <w:t>持有不同种类股份的股东，为类别股东。</w:t>
      </w:r>
    </w:p>
    <w:p>
      <w:pPr>
        <w:tabs>
          <w:tab w:val="left" w:pos="0"/>
          <w:tab w:val="left" w:pos="2400"/>
        </w:tabs>
        <w:snapToGrid w:val="0"/>
        <w:spacing w:line="360" w:lineRule="auto"/>
        <w:rPr>
          <w:rFonts w:ascii="宋体"/>
          <w:sz w:val="24"/>
        </w:rPr>
      </w:pP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类别股东依据法律、行政法规和公司章程的规定，享有权利和承担义务。</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6.2</w:t>
      </w:r>
      <w:r>
        <w:rPr>
          <w:rFonts w:ascii="宋体"/>
          <w:sz w:val="24"/>
        </w:rPr>
        <w:t xml:space="preserve">  </w:t>
      </w:r>
      <w:r>
        <w:rPr>
          <w:rFonts w:hint="eastAsia" w:ascii="宋体"/>
          <w:sz w:val="24"/>
        </w:rPr>
        <w:t>如公司拟变更或废除类别股东的权利，应当经股东大会以特别决议通过和经受影响的类别股东在按《公司章程》第11.3条至第11.7条分别召集的类别股东会议上通过，方可进行。</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6.3</w:t>
      </w:r>
      <w:r>
        <w:rPr>
          <w:rFonts w:ascii="宋体"/>
          <w:sz w:val="24"/>
        </w:rPr>
        <w:t xml:space="preserve">  </w:t>
      </w:r>
      <w:r>
        <w:rPr>
          <w:rFonts w:hint="eastAsia" w:ascii="宋体"/>
          <w:sz w:val="24"/>
        </w:rPr>
        <w:t>变更或者废除某类别股东的权利</w:t>
      </w:r>
      <w:r>
        <w:rPr>
          <w:rFonts w:hint="eastAsia" w:ascii="PMingLiU" w:hAnsi="PMingLiU"/>
          <w:sz w:val="24"/>
          <w:szCs w:val="24"/>
        </w:rPr>
        <w:t>包括但不限于</w:t>
      </w:r>
      <w:r>
        <w:rPr>
          <w:rFonts w:hint="eastAsia" w:ascii="宋体"/>
          <w:sz w:val="24"/>
        </w:rPr>
        <w:t>：</w:t>
      </w:r>
    </w:p>
    <w:p>
      <w:pPr>
        <w:numPr>
          <w:ilvl w:val="0"/>
          <w:numId w:val="16"/>
        </w:numPr>
        <w:tabs>
          <w:tab w:val="left" w:pos="0"/>
          <w:tab w:val="left" w:pos="2400"/>
        </w:tabs>
        <w:snapToGrid w:val="0"/>
        <w:spacing w:line="360" w:lineRule="auto"/>
        <w:rPr>
          <w:rFonts w:ascii="宋体"/>
          <w:sz w:val="24"/>
        </w:rPr>
      </w:pPr>
      <w:r>
        <w:rPr>
          <w:rFonts w:hint="eastAsia" w:ascii="宋体"/>
          <w:sz w:val="24"/>
        </w:rPr>
        <w:t>增加或者减少该类别股份的数目，或者增加或减少与该类别股份享有同等或者更多的表决权、分配权、其他特权的类别股份的数目；</w:t>
      </w:r>
    </w:p>
    <w:p>
      <w:pPr>
        <w:numPr>
          <w:ilvl w:val="0"/>
          <w:numId w:val="16"/>
        </w:numPr>
        <w:tabs>
          <w:tab w:val="left" w:pos="0"/>
          <w:tab w:val="left" w:pos="2400"/>
        </w:tabs>
        <w:snapToGrid w:val="0"/>
        <w:spacing w:line="360" w:lineRule="auto"/>
        <w:rPr>
          <w:rFonts w:ascii="宋体"/>
          <w:sz w:val="24"/>
        </w:rPr>
      </w:pPr>
      <w:r>
        <w:rPr>
          <w:rFonts w:hint="eastAsia" w:ascii="宋体"/>
          <w:sz w:val="24"/>
        </w:rPr>
        <w:t>将该类别股份的全部或部分换作其他类别，或者将另一类别的股份的全部或者部分换作该类别股份或者授予该等转换权；</w:t>
      </w:r>
    </w:p>
    <w:p>
      <w:pPr>
        <w:numPr>
          <w:ilvl w:val="0"/>
          <w:numId w:val="16"/>
        </w:numPr>
        <w:tabs>
          <w:tab w:val="left" w:pos="0"/>
          <w:tab w:val="left" w:pos="2400"/>
        </w:tabs>
        <w:snapToGrid w:val="0"/>
        <w:spacing w:line="360" w:lineRule="auto"/>
        <w:rPr>
          <w:rFonts w:ascii="宋体"/>
          <w:sz w:val="24"/>
        </w:rPr>
      </w:pPr>
      <w:r>
        <w:rPr>
          <w:rFonts w:hint="eastAsia" w:ascii="宋体"/>
          <w:sz w:val="24"/>
        </w:rPr>
        <w:t>取消或减少该类别股份所具有的、取得已产生的股利或累积股利的权利；</w:t>
      </w:r>
    </w:p>
    <w:p>
      <w:pPr>
        <w:numPr>
          <w:ilvl w:val="0"/>
          <w:numId w:val="16"/>
        </w:numPr>
        <w:tabs>
          <w:tab w:val="left" w:pos="0"/>
          <w:tab w:val="left" w:pos="2400"/>
        </w:tabs>
        <w:snapToGrid w:val="0"/>
        <w:spacing w:line="360" w:lineRule="auto"/>
        <w:rPr>
          <w:rFonts w:ascii="宋体"/>
          <w:sz w:val="24"/>
        </w:rPr>
      </w:pPr>
      <w:r>
        <w:rPr>
          <w:rFonts w:hint="eastAsia" w:ascii="宋体"/>
          <w:sz w:val="24"/>
        </w:rPr>
        <w:t>减少或取消该类别股份所具有的优先取得股利或在公司清算中优先取得财产分配的权利；</w:t>
      </w:r>
    </w:p>
    <w:p>
      <w:pPr>
        <w:numPr>
          <w:ilvl w:val="0"/>
          <w:numId w:val="16"/>
        </w:numPr>
        <w:tabs>
          <w:tab w:val="left" w:pos="0"/>
          <w:tab w:val="left" w:pos="2400"/>
        </w:tabs>
        <w:snapToGrid w:val="0"/>
        <w:spacing w:line="360" w:lineRule="auto"/>
        <w:rPr>
          <w:rFonts w:ascii="宋体"/>
          <w:sz w:val="24"/>
        </w:rPr>
      </w:pPr>
      <w:r>
        <w:rPr>
          <w:rFonts w:hint="eastAsia" w:ascii="宋体"/>
          <w:sz w:val="24"/>
        </w:rPr>
        <w:t>增加、取消或减少该类别股份所具有的转换股份权、选择权、表决权、转让权、优先配售权、取得公司证券的权利；</w:t>
      </w:r>
    </w:p>
    <w:p>
      <w:pPr>
        <w:numPr>
          <w:ilvl w:val="0"/>
          <w:numId w:val="16"/>
        </w:numPr>
        <w:tabs>
          <w:tab w:val="left" w:pos="0"/>
          <w:tab w:val="left" w:pos="2400"/>
        </w:tabs>
        <w:snapToGrid w:val="0"/>
        <w:spacing w:line="360" w:lineRule="auto"/>
        <w:rPr>
          <w:rFonts w:ascii="宋体"/>
          <w:sz w:val="24"/>
        </w:rPr>
      </w:pPr>
      <w:r>
        <w:rPr>
          <w:rFonts w:hint="eastAsia" w:ascii="宋体"/>
          <w:sz w:val="24"/>
        </w:rPr>
        <w:t>取消或减少该类别股份所具有的，以特定货币收取公司应付款项的权利；</w:t>
      </w:r>
    </w:p>
    <w:p>
      <w:pPr>
        <w:numPr>
          <w:ilvl w:val="0"/>
          <w:numId w:val="16"/>
        </w:numPr>
        <w:tabs>
          <w:tab w:val="left" w:pos="0"/>
          <w:tab w:val="left" w:pos="2400"/>
        </w:tabs>
        <w:snapToGrid w:val="0"/>
        <w:spacing w:line="360" w:lineRule="auto"/>
        <w:rPr>
          <w:rFonts w:ascii="宋体"/>
          <w:sz w:val="24"/>
        </w:rPr>
      </w:pPr>
      <w:r>
        <w:rPr>
          <w:rFonts w:hint="eastAsia" w:ascii="宋体"/>
          <w:sz w:val="24"/>
        </w:rPr>
        <w:t>设立与该类别股份享有同等或者更多表决权、分配权或者其他特权的新类别；</w:t>
      </w:r>
    </w:p>
    <w:p>
      <w:pPr>
        <w:numPr>
          <w:ilvl w:val="0"/>
          <w:numId w:val="16"/>
        </w:numPr>
        <w:tabs>
          <w:tab w:val="left" w:pos="0"/>
          <w:tab w:val="left" w:pos="2400"/>
        </w:tabs>
        <w:snapToGrid w:val="0"/>
        <w:spacing w:line="360" w:lineRule="auto"/>
        <w:rPr>
          <w:rFonts w:ascii="宋体"/>
          <w:sz w:val="24"/>
        </w:rPr>
      </w:pPr>
      <w:r>
        <w:rPr>
          <w:rFonts w:hint="eastAsia" w:ascii="宋体"/>
          <w:sz w:val="24"/>
        </w:rPr>
        <w:t>对该类别股份的转让或所有权加以限制或增加该等限制；</w:t>
      </w:r>
    </w:p>
    <w:p>
      <w:pPr>
        <w:numPr>
          <w:ilvl w:val="0"/>
          <w:numId w:val="16"/>
        </w:numPr>
        <w:tabs>
          <w:tab w:val="left" w:pos="0"/>
          <w:tab w:val="left" w:pos="2400"/>
        </w:tabs>
        <w:snapToGrid w:val="0"/>
        <w:spacing w:line="360" w:lineRule="auto"/>
        <w:rPr>
          <w:rFonts w:ascii="宋体"/>
          <w:sz w:val="24"/>
        </w:rPr>
      </w:pPr>
      <w:r>
        <w:rPr>
          <w:rFonts w:hint="eastAsia" w:ascii="宋体"/>
          <w:sz w:val="24"/>
        </w:rPr>
        <w:t>发行该类别或者另一类别的股份认购权或转换股份的权利；</w:t>
      </w:r>
    </w:p>
    <w:p>
      <w:pPr>
        <w:numPr>
          <w:ilvl w:val="0"/>
          <w:numId w:val="16"/>
        </w:numPr>
        <w:tabs>
          <w:tab w:val="left" w:pos="0"/>
          <w:tab w:val="left" w:pos="2400"/>
        </w:tabs>
        <w:snapToGrid w:val="0"/>
        <w:spacing w:line="360" w:lineRule="auto"/>
        <w:rPr>
          <w:rFonts w:ascii="宋体"/>
          <w:sz w:val="24"/>
        </w:rPr>
      </w:pPr>
      <w:r>
        <w:rPr>
          <w:rFonts w:hint="eastAsia" w:ascii="宋体"/>
          <w:sz w:val="24"/>
        </w:rPr>
        <w:t>增加其他类别股份的权利和特权；</w:t>
      </w:r>
    </w:p>
    <w:p>
      <w:pPr>
        <w:numPr>
          <w:ilvl w:val="0"/>
          <w:numId w:val="16"/>
        </w:numPr>
        <w:tabs>
          <w:tab w:val="left" w:pos="0"/>
          <w:tab w:val="left" w:pos="1080"/>
        </w:tabs>
        <w:snapToGrid w:val="0"/>
        <w:spacing w:line="360" w:lineRule="auto"/>
        <w:rPr>
          <w:rFonts w:ascii="宋体"/>
          <w:sz w:val="24"/>
        </w:rPr>
      </w:pPr>
      <w:r>
        <w:rPr>
          <w:rFonts w:hint="eastAsia" w:ascii="宋体"/>
          <w:sz w:val="24"/>
        </w:rPr>
        <w:t>公司改组方案会构成不同类别股东在改组中不按比例地承担责任；</w:t>
      </w:r>
    </w:p>
    <w:p>
      <w:pPr>
        <w:numPr>
          <w:ilvl w:val="0"/>
          <w:numId w:val="16"/>
        </w:numPr>
        <w:tabs>
          <w:tab w:val="left" w:pos="0"/>
          <w:tab w:val="left" w:pos="1080"/>
        </w:tabs>
        <w:snapToGrid w:val="0"/>
        <w:spacing w:line="360" w:lineRule="auto"/>
        <w:rPr>
          <w:rFonts w:ascii="宋体"/>
          <w:sz w:val="24"/>
        </w:rPr>
      </w:pPr>
      <w:r>
        <w:rPr>
          <w:rFonts w:hint="eastAsia" w:ascii="宋体"/>
          <w:sz w:val="24"/>
        </w:rPr>
        <w:t>修改或者废除本章所规定的条款。</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6.4</w:t>
      </w:r>
      <w:r>
        <w:rPr>
          <w:rFonts w:ascii="宋体"/>
          <w:sz w:val="24"/>
        </w:rPr>
        <w:t xml:space="preserve">  </w:t>
      </w:r>
      <w:r>
        <w:rPr>
          <w:rFonts w:hint="eastAsia" w:ascii="宋体"/>
          <w:sz w:val="24"/>
        </w:rPr>
        <w:t>受影响的类别股东，无论原来在股东大会上是否有表决权，在涉及上款（二）至（八）、（十一）至（十二）项的事项时，在类别股东大会上具有表决权，但有利害关系的股东在类别股东大会上没有表决权。</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ascii="宋体"/>
          <w:sz w:val="24"/>
        </w:rPr>
        <w:t xml:space="preserve">    </w:t>
      </w:r>
      <w:r>
        <w:rPr>
          <w:rFonts w:hint="eastAsia" w:ascii="宋体"/>
          <w:sz w:val="24"/>
        </w:rPr>
        <w:t>前款所述“有利害关系的股东”的含义如下：</w:t>
      </w:r>
    </w:p>
    <w:p>
      <w:pPr>
        <w:numPr>
          <w:ilvl w:val="0"/>
          <w:numId w:val="17"/>
        </w:numPr>
        <w:tabs>
          <w:tab w:val="left" w:pos="0"/>
          <w:tab w:val="left" w:pos="2400"/>
        </w:tabs>
        <w:snapToGrid w:val="0"/>
        <w:spacing w:line="360" w:lineRule="auto"/>
        <w:rPr>
          <w:rFonts w:ascii="宋体"/>
          <w:sz w:val="24"/>
        </w:rPr>
      </w:pPr>
      <w:r>
        <w:rPr>
          <w:rFonts w:hint="eastAsia" w:ascii="宋体"/>
          <w:sz w:val="24"/>
        </w:rPr>
        <w:t>在公司按公司章程第5.3条的规定向全体股东按照相同比例发出购回要约或者在证券交易所通过公开交易方式购回自己股份的情况下，“有利害关系的股东”是指公司章程第9.1条所定义的控股股东；</w:t>
      </w:r>
    </w:p>
    <w:p>
      <w:pPr>
        <w:numPr>
          <w:ilvl w:val="0"/>
          <w:numId w:val="17"/>
        </w:numPr>
        <w:tabs>
          <w:tab w:val="left" w:pos="0"/>
          <w:tab w:val="left" w:pos="2400"/>
        </w:tabs>
        <w:snapToGrid w:val="0"/>
        <w:spacing w:line="360" w:lineRule="auto"/>
        <w:rPr>
          <w:rFonts w:ascii="宋体"/>
          <w:sz w:val="24"/>
        </w:rPr>
      </w:pPr>
      <w:r>
        <w:rPr>
          <w:rFonts w:hint="eastAsia" w:ascii="宋体"/>
          <w:sz w:val="24"/>
        </w:rPr>
        <w:t>在公司按照公司章程第5.3条的规定在证券交易所外以协议方式购回自己股份的情况下，“有利害关系的股东”是指与该协议有关的股东；</w:t>
      </w:r>
    </w:p>
    <w:p>
      <w:pPr>
        <w:numPr>
          <w:ilvl w:val="0"/>
          <w:numId w:val="17"/>
        </w:numPr>
        <w:tabs>
          <w:tab w:val="left" w:pos="0"/>
          <w:tab w:val="left" w:pos="2400"/>
        </w:tabs>
        <w:snapToGrid w:val="0"/>
        <w:spacing w:line="360" w:lineRule="auto"/>
        <w:rPr>
          <w:rFonts w:ascii="宋体"/>
          <w:sz w:val="24"/>
        </w:rPr>
      </w:pPr>
      <w:r>
        <w:rPr>
          <w:rFonts w:hint="eastAsia" w:ascii="宋体"/>
          <w:sz w:val="24"/>
        </w:rPr>
        <w:t>在公司改组方案中，“有利害关系股东”是指以低于本类别其他股东的比例承担责任的股东或者与该类别中的其他股东拥有不同利益的股东。</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6.5</w:t>
      </w:r>
      <w:r>
        <w:rPr>
          <w:rFonts w:ascii="宋体"/>
          <w:sz w:val="24"/>
        </w:rPr>
        <w:t xml:space="preserve">  </w:t>
      </w:r>
      <w:r>
        <w:rPr>
          <w:rFonts w:hint="eastAsia" w:ascii="宋体"/>
          <w:sz w:val="24"/>
        </w:rPr>
        <w:t>公司召开类别股东大会，发出书面通知的期限应当与召开该次类别股东会议一并拟召开的非类别股东大会的书面通知期限相同。书面通知应将会议拟审议的事项以及开会日期和地点告知所有该类别股份的在册股东。拟出席会议的股东，应当于会议召开五日前，将出席会议的书面回复送达公司。</w:t>
      </w:r>
    </w:p>
    <w:p>
      <w:pPr>
        <w:tabs>
          <w:tab w:val="left" w:pos="0"/>
          <w:tab w:val="left" w:pos="2400"/>
        </w:tabs>
        <w:snapToGrid w:val="0"/>
        <w:spacing w:line="360" w:lineRule="auto"/>
        <w:ind w:firstLine="480" w:firstLineChars="200"/>
        <w:rPr>
          <w:rFonts w:ascii="宋体"/>
          <w:sz w:val="24"/>
        </w:rPr>
      </w:pPr>
      <w:r>
        <w:rPr>
          <w:rFonts w:hint="eastAsia" w:ascii="宋体"/>
          <w:sz w:val="24"/>
        </w:rPr>
        <w:t xml:space="preserve">拟出席会议的股东所代表的在该会议上有表决权的股份数目，达到在该会议上有表决权的该类别股份总数二分之一以上的，公司可以召开类别股东大会；达不到的，公司应当在五日内将会议拟审议的事项、开会日期和地点以公告形式再次通知股东。经公告通知，公司可以召开类别股东大会。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6.6</w:t>
      </w:r>
      <w:r>
        <w:rPr>
          <w:rFonts w:ascii="宋体"/>
          <w:sz w:val="24"/>
        </w:rPr>
        <w:t xml:space="preserve">  </w:t>
      </w:r>
      <w:r>
        <w:rPr>
          <w:rFonts w:hint="eastAsia" w:ascii="宋体"/>
          <w:sz w:val="24"/>
        </w:rPr>
        <w:t>类别股东大会的通知只须送给有权在该会议上表决的股东。</w:t>
      </w:r>
    </w:p>
    <w:p>
      <w:pPr>
        <w:tabs>
          <w:tab w:val="left" w:pos="0"/>
          <w:tab w:val="left" w:pos="2400"/>
        </w:tabs>
        <w:snapToGrid w:val="0"/>
        <w:spacing w:line="360" w:lineRule="auto"/>
        <w:rPr>
          <w:rFonts w:ascii="宋体"/>
          <w:sz w:val="24"/>
        </w:rPr>
      </w:pPr>
      <w:r>
        <w:rPr>
          <w:rFonts w:ascii="宋体"/>
          <w:sz w:val="24"/>
        </w:rPr>
        <w:t xml:space="preserve">  </w:t>
      </w:r>
      <w:r>
        <w:rPr>
          <w:rFonts w:hint="eastAsia" w:ascii="宋体"/>
          <w:sz w:val="24"/>
        </w:rPr>
        <w:t xml:space="preserve">  类别股东大会应当以与股东大会尽可能相同的程序举行，本规则中有关股东大会举行程序的条款适用于类别股东大会。</w:t>
      </w:r>
      <w:r>
        <w:rPr>
          <w:rFonts w:ascii="宋体"/>
          <w:sz w:val="24"/>
        </w:rPr>
        <w:t xml:space="preserve">    </w:t>
      </w:r>
    </w:p>
    <w:p>
      <w:pPr>
        <w:tabs>
          <w:tab w:val="left" w:pos="0"/>
          <w:tab w:val="left" w:pos="2400"/>
        </w:tabs>
        <w:snapToGrid w:val="0"/>
        <w:spacing w:line="360" w:lineRule="auto"/>
        <w:rPr>
          <w:rFonts w:ascii="宋体"/>
          <w:sz w:val="24"/>
        </w:rPr>
      </w:pPr>
    </w:p>
    <w:p>
      <w:pPr>
        <w:tabs>
          <w:tab w:val="left" w:pos="0"/>
          <w:tab w:val="left" w:pos="2400"/>
        </w:tabs>
        <w:snapToGrid w:val="0"/>
        <w:spacing w:line="360" w:lineRule="auto"/>
        <w:rPr>
          <w:rFonts w:ascii="宋体"/>
          <w:sz w:val="24"/>
        </w:rPr>
      </w:pPr>
      <w:r>
        <w:rPr>
          <w:rFonts w:hint="eastAsia" w:ascii="宋体"/>
          <w:sz w:val="24"/>
        </w:rPr>
        <w:t>6.7</w:t>
      </w:r>
      <w:r>
        <w:rPr>
          <w:rFonts w:ascii="宋体"/>
          <w:sz w:val="24"/>
        </w:rPr>
        <w:t xml:space="preserve">  </w:t>
      </w:r>
      <w:r>
        <w:rPr>
          <w:rFonts w:hint="eastAsia" w:ascii="宋体"/>
          <w:sz w:val="24"/>
        </w:rPr>
        <w:t>类别股东大会的决议，应当经根据第6.4条由出席类别股东大会有表决权的三分之二以上的股权表决通过，方可作出。</w:t>
      </w:r>
      <w:r>
        <w:rPr>
          <w:rFonts w:ascii="宋体"/>
          <w:sz w:val="24"/>
        </w:rPr>
        <w:t xml:space="preserve">  </w:t>
      </w:r>
    </w:p>
    <w:p>
      <w:pPr>
        <w:tabs>
          <w:tab w:val="left" w:pos="0"/>
          <w:tab w:val="left" w:pos="2400"/>
        </w:tabs>
        <w:snapToGrid w:val="0"/>
        <w:spacing w:line="360" w:lineRule="auto"/>
        <w:rPr>
          <w:rFonts w:ascii="宋体"/>
          <w:sz w:val="24"/>
        </w:rPr>
      </w:pPr>
      <w:r>
        <w:rPr>
          <w:rFonts w:hint="eastAsia" w:ascii="宋体"/>
          <w:sz w:val="24"/>
        </w:rPr>
        <w:t xml:space="preserve">    就上款而言，如果任何股东（或其代理人）就其持有的表决权时在表决一项议案时，投弃权票或不行使其表决权，所涉及的表决权在计算出席类别股东大会的股东所持的表决权应（就该项议案而言）不计算在内。</w:t>
      </w:r>
      <w:r>
        <w:rPr>
          <w:rFonts w:ascii="宋体"/>
          <w:sz w:val="24"/>
        </w:rPr>
        <w:t xml:space="preserve"> </w:t>
      </w:r>
    </w:p>
    <w:p>
      <w:pPr>
        <w:tabs>
          <w:tab w:val="left" w:pos="0"/>
          <w:tab w:val="left" w:pos="2400"/>
        </w:tabs>
        <w:snapToGrid w:val="0"/>
        <w:spacing w:line="360" w:lineRule="auto"/>
        <w:rPr>
          <w:rFonts w:ascii="宋体"/>
          <w:sz w:val="24"/>
        </w:rPr>
      </w:pPr>
    </w:p>
    <w:p>
      <w:pPr>
        <w:snapToGrid w:val="0"/>
        <w:spacing w:line="360" w:lineRule="auto"/>
        <w:rPr>
          <w:rFonts w:ascii="宋体"/>
          <w:sz w:val="24"/>
        </w:rPr>
      </w:pPr>
    </w:p>
    <w:p>
      <w:pPr>
        <w:snapToGrid w:val="0"/>
        <w:spacing w:line="360" w:lineRule="auto"/>
        <w:jc w:val="center"/>
        <w:rPr>
          <w:rFonts w:ascii="黑体" w:eastAsia="黑体"/>
          <w:b/>
          <w:sz w:val="28"/>
        </w:rPr>
      </w:pPr>
      <w:r>
        <w:rPr>
          <w:rFonts w:hint="eastAsia" w:ascii="黑体" w:eastAsia="黑体"/>
          <w:b/>
          <w:sz w:val="28"/>
        </w:rPr>
        <w:t>第七章    附则</w:t>
      </w:r>
    </w:p>
    <w:p>
      <w:pPr>
        <w:snapToGrid w:val="0"/>
        <w:spacing w:line="360" w:lineRule="auto"/>
        <w:rPr>
          <w:rFonts w:ascii="宋体"/>
          <w:sz w:val="24"/>
        </w:rPr>
      </w:pPr>
    </w:p>
    <w:p>
      <w:pPr>
        <w:snapToGrid w:val="0"/>
        <w:spacing w:line="360" w:lineRule="auto"/>
        <w:rPr>
          <w:rFonts w:ascii="宋体"/>
          <w:sz w:val="24"/>
        </w:rPr>
      </w:pPr>
      <w:r>
        <w:rPr>
          <w:rFonts w:hint="eastAsia" w:ascii="宋体"/>
          <w:sz w:val="24"/>
        </w:rPr>
        <w:t>7.1  本规则未尽事宜</w:t>
      </w:r>
      <w:bookmarkStart w:id="9" w:name="_GoBack"/>
      <w:r>
        <w:rPr>
          <w:rFonts w:hint="eastAsia"/>
          <w:sz w:val="24"/>
          <w:highlight w:val="yellow"/>
          <w:lang w:val="en-US" w:eastAsia="zh-CN"/>
        </w:rPr>
        <w:t>或不一致事项</w:t>
      </w:r>
      <w:bookmarkEnd w:id="9"/>
      <w:r>
        <w:rPr>
          <w:rFonts w:hint="eastAsia" w:ascii="宋体"/>
          <w:sz w:val="24"/>
        </w:rPr>
        <w:t>，依据《公司法》、公司章程、香港联合交易所《证券上市规则》、上海证券交易所《股票上市规则》及其他有关法律、法规的规定办理。</w:t>
      </w:r>
    </w:p>
    <w:p>
      <w:pPr>
        <w:snapToGrid w:val="0"/>
        <w:spacing w:line="360" w:lineRule="auto"/>
        <w:rPr>
          <w:rFonts w:ascii="宋体"/>
          <w:sz w:val="24"/>
        </w:rPr>
      </w:pPr>
    </w:p>
    <w:p>
      <w:pPr>
        <w:snapToGrid w:val="0"/>
        <w:spacing w:line="360" w:lineRule="auto"/>
        <w:rPr>
          <w:rFonts w:ascii="宋体"/>
          <w:sz w:val="24"/>
        </w:rPr>
      </w:pPr>
      <w:r>
        <w:rPr>
          <w:rFonts w:hint="eastAsia" w:ascii="宋体"/>
          <w:sz w:val="24"/>
        </w:rPr>
        <w:t>7.2  本规则经公司股东大会审议通过后施行，由公司董事会负责解释和修改。</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21260467"/>
    </w:sdtPr>
    <w:sdtContent>
      <w:p>
        <w:pPr>
          <w:pStyle w:val="5"/>
          <w:jc w:val="center"/>
        </w:pPr>
        <w:r>
          <w:fldChar w:fldCharType="begin"/>
        </w:r>
        <w:r>
          <w:instrText xml:space="preserve">PAGE   \* MERGEFORMAT</w:instrText>
        </w:r>
        <w:r>
          <w:fldChar w:fldCharType="separate"/>
        </w:r>
        <w:r>
          <w:rPr>
            <w:lang w:val="zh-CN"/>
          </w:rPr>
          <w:t>22</w:t>
        </w:r>
        <w: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613249"/>
    <w:multiLevelType w:val="singleLevel"/>
    <w:tmpl w:val="08613249"/>
    <w:lvl w:ilvl="0" w:tentative="0">
      <w:start w:val="1"/>
      <w:numFmt w:val="japaneseCounting"/>
      <w:lvlText w:val="（%1）"/>
      <w:lvlJc w:val="left"/>
      <w:pPr>
        <w:tabs>
          <w:tab w:val="left" w:pos="720"/>
        </w:tabs>
        <w:ind w:left="720" w:hanging="720"/>
      </w:pPr>
      <w:rPr>
        <w:rFonts w:hint="eastAsia"/>
      </w:rPr>
    </w:lvl>
  </w:abstractNum>
  <w:abstractNum w:abstractNumId="1">
    <w:nsid w:val="0E545960"/>
    <w:multiLevelType w:val="singleLevel"/>
    <w:tmpl w:val="0E545960"/>
    <w:lvl w:ilvl="0" w:tentative="0">
      <w:start w:val="1"/>
      <w:numFmt w:val="japaneseCounting"/>
      <w:lvlText w:val="第%1节"/>
      <w:lvlJc w:val="left"/>
      <w:pPr>
        <w:tabs>
          <w:tab w:val="left" w:pos="1425"/>
        </w:tabs>
        <w:ind w:left="1425" w:hanging="1425"/>
      </w:pPr>
      <w:rPr>
        <w:rFonts w:hint="eastAsia"/>
      </w:rPr>
    </w:lvl>
  </w:abstractNum>
  <w:abstractNum w:abstractNumId="2">
    <w:nsid w:val="161602CC"/>
    <w:multiLevelType w:val="singleLevel"/>
    <w:tmpl w:val="161602CC"/>
    <w:lvl w:ilvl="0" w:tentative="0">
      <w:start w:val="1"/>
      <w:numFmt w:val="japaneseCounting"/>
      <w:lvlText w:val="（%1）"/>
      <w:lvlJc w:val="left"/>
      <w:pPr>
        <w:tabs>
          <w:tab w:val="left" w:pos="720"/>
        </w:tabs>
        <w:ind w:left="720" w:hanging="720"/>
      </w:pPr>
      <w:rPr>
        <w:rFonts w:hint="eastAsia"/>
      </w:rPr>
    </w:lvl>
  </w:abstractNum>
  <w:abstractNum w:abstractNumId="3">
    <w:nsid w:val="167714C8"/>
    <w:multiLevelType w:val="singleLevel"/>
    <w:tmpl w:val="167714C8"/>
    <w:lvl w:ilvl="0" w:tentative="0">
      <w:start w:val="1"/>
      <w:numFmt w:val="japaneseCounting"/>
      <w:lvlText w:val="第%1节"/>
      <w:lvlJc w:val="left"/>
      <w:pPr>
        <w:tabs>
          <w:tab w:val="left" w:pos="1440"/>
        </w:tabs>
        <w:ind w:left="1440" w:hanging="1440"/>
      </w:pPr>
      <w:rPr>
        <w:rFonts w:hint="eastAsia"/>
      </w:rPr>
    </w:lvl>
  </w:abstractNum>
  <w:abstractNum w:abstractNumId="4">
    <w:nsid w:val="17AD6B4C"/>
    <w:multiLevelType w:val="singleLevel"/>
    <w:tmpl w:val="17AD6B4C"/>
    <w:lvl w:ilvl="0" w:tentative="0">
      <w:start w:val="1"/>
      <w:numFmt w:val="japaneseCounting"/>
      <w:lvlText w:val="（%1）"/>
      <w:lvlJc w:val="left"/>
      <w:pPr>
        <w:tabs>
          <w:tab w:val="left" w:pos="720"/>
        </w:tabs>
        <w:ind w:left="720" w:hanging="720"/>
      </w:pPr>
      <w:rPr>
        <w:rFonts w:hint="eastAsia"/>
      </w:rPr>
    </w:lvl>
  </w:abstractNum>
  <w:abstractNum w:abstractNumId="5">
    <w:nsid w:val="30363681"/>
    <w:multiLevelType w:val="singleLevel"/>
    <w:tmpl w:val="30363681"/>
    <w:lvl w:ilvl="0" w:tentative="0">
      <w:start w:val="1"/>
      <w:numFmt w:val="japaneseCounting"/>
      <w:lvlText w:val="（%1）"/>
      <w:lvlJc w:val="left"/>
      <w:pPr>
        <w:tabs>
          <w:tab w:val="left" w:pos="720"/>
        </w:tabs>
        <w:ind w:left="720" w:hanging="720"/>
      </w:pPr>
      <w:rPr>
        <w:rFonts w:hint="eastAsia"/>
      </w:rPr>
    </w:lvl>
  </w:abstractNum>
  <w:abstractNum w:abstractNumId="6">
    <w:nsid w:val="31537444"/>
    <w:multiLevelType w:val="singleLevel"/>
    <w:tmpl w:val="31537444"/>
    <w:lvl w:ilvl="0" w:tentative="0">
      <w:start w:val="1"/>
      <w:numFmt w:val="japaneseCounting"/>
      <w:lvlText w:val="（%1）"/>
      <w:lvlJc w:val="left"/>
      <w:pPr>
        <w:tabs>
          <w:tab w:val="left" w:pos="720"/>
        </w:tabs>
        <w:ind w:left="720" w:hanging="720"/>
      </w:pPr>
      <w:rPr>
        <w:rFonts w:hint="eastAsia"/>
      </w:rPr>
    </w:lvl>
  </w:abstractNum>
  <w:abstractNum w:abstractNumId="7">
    <w:nsid w:val="35F24781"/>
    <w:multiLevelType w:val="singleLevel"/>
    <w:tmpl w:val="35F24781"/>
    <w:lvl w:ilvl="0" w:tentative="0">
      <w:start w:val="1"/>
      <w:numFmt w:val="japaneseCounting"/>
      <w:lvlText w:val="（%1）"/>
      <w:lvlJc w:val="left"/>
      <w:pPr>
        <w:tabs>
          <w:tab w:val="left" w:pos="720"/>
        </w:tabs>
        <w:ind w:left="720" w:hanging="720"/>
      </w:pPr>
      <w:rPr>
        <w:rFonts w:hint="eastAsia"/>
      </w:rPr>
    </w:lvl>
  </w:abstractNum>
  <w:abstractNum w:abstractNumId="8">
    <w:nsid w:val="3FFB43B7"/>
    <w:multiLevelType w:val="singleLevel"/>
    <w:tmpl w:val="3FFB43B7"/>
    <w:lvl w:ilvl="0" w:tentative="0">
      <w:start w:val="1"/>
      <w:numFmt w:val="japaneseCounting"/>
      <w:lvlText w:val="（%1）"/>
      <w:lvlJc w:val="left"/>
      <w:pPr>
        <w:tabs>
          <w:tab w:val="left" w:pos="720"/>
        </w:tabs>
        <w:ind w:left="720" w:hanging="720"/>
      </w:pPr>
      <w:rPr>
        <w:rFonts w:hint="eastAsia"/>
      </w:rPr>
    </w:lvl>
  </w:abstractNum>
  <w:abstractNum w:abstractNumId="9">
    <w:nsid w:val="5C02785A"/>
    <w:multiLevelType w:val="singleLevel"/>
    <w:tmpl w:val="5C02785A"/>
    <w:lvl w:ilvl="0" w:tentative="0">
      <w:start w:val="1"/>
      <w:numFmt w:val="japaneseCounting"/>
      <w:lvlText w:val="（%1）"/>
      <w:lvlJc w:val="left"/>
      <w:pPr>
        <w:tabs>
          <w:tab w:val="left" w:pos="720"/>
        </w:tabs>
        <w:ind w:left="720" w:hanging="720"/>
      </w:pPr>
      <w:rPr>
        <w:rFonts w:hint="eastAsia"/>
      </w:rPr>
    </w:lvl>
  </w:abstractNum>
  <w:abstractNum w:abstractNumId="10">
    <w:nsid w:val="6458446C"/>
    <w:multiLevelType w:val="singleLevel"/>
    <w:tmpl w:val="6458446C"/>
    <w:lvl w:ilvl="0" w:tentative="0">
      <w:start w:val="1"/>
      <w:numFmt w:val="japaneseCounting"/>
      <w:lvlText w:val="（%1）"/>
      <w:lvlJc w:val="left"/>
      <w:pPr>
        <w:tabs>
          <w:tab w:val="left" w:pos="720"/>
        </w:tabs>
        <w:ind w:left="720" w:hanging="720"/>
      </w:pPr>
      <w:rPr>
        <w:rFonts w:hint="eastAsia"/>
      </w:rPr>
    </w:lvl>
  </w:abstractNum>
  <w:abstractNum w:abstractNumId="11">
    <w:nsid w:val="664D5492"/>
    <w:multiLevelType w:val="singleLevel"/>
    <w:tmpl w:val="664D5492"/>
    <w:lvl w:ilvl="0" w:tentative="0">
      <w:start w:val="2"/>
      <w:numFmt w:val="japaneseCounting"/>
      <w:lvlText w:val="第%1章"/>
      <w:lvlJc w:val="left"/>
      <w:pPr>
        <w:tabs>
          <w:tab w:val="left" w:pos="1080"/>
        </w:tabs>
        <w:ind w:left="1080" w:hanging="1080"/>
      </w:pPr>
      <w:rPr>
        <w:rFonts w:hint="eastAsia"/>
      </w:rPr>
    </w:lvl>
  </w:abstractNum>
  <w:abstractNum w:abstractNumId="12">
    <w:nsid w:val="66E77183"/>
    <w:multiLevelType w:val="singleLevel"/>
    <w:tmpl w:val="66E77183"/>
    <w:lvl w:ilvl="0" w:tentative="0">
      <w:start w:val="1"/>
      <w:numFmt w:val="japaneseCounting"/>
      <w:lvlText w:val="（%1）"/>
      <w:lvlJc w:val="left"/>
      <w:pPr>
        <w:tabs>
          <w:tab w:val="left" w:pos="720"/>
        </w:tabs>
        <w:ind w:left="720" w:hanging="720"/>
      </w:pPr>
      <w:rPr>
        <w:rFonts w:hint="eastAsia"/>
      </w:rPr>
    </w:lvl>
  </w:abstractNum>
  <w:abstractNum w:abstractNumId="13">
    <w:nsid w:val="6720775F"/>
    <w:multiLevelType w:val="singleLevel"/>
    <w:tmpl w:val="6720775F"/>
    <w:lvl w:ilvl="0" w:tentative="0">
      <w:start w:val="1"/>
      <w:numFmt w:val="japaneseCounting"/>
      <w:lvlText w:val="（%1）"/>
      <w:lvlJc w:val="left"/>
      <w:pPr>
        <w:tabs>
          <w:tab w:val="left" w:pos="720"/>
        </w:tabs>
        <w:ind w:left="720" w:hanging="720"/>
      </w:pPr>
      <w:rPr>
        <w:rFonts w:hint="eastAsia"/>
      </w:rPr>
    </w:lvl>
  </w:abstractNum>
  <w:abstractNum w:abstractNumId="14">
    <w:nsid w:val="699554B0"/>
    <w:multiLevelType w:val="singleLevel"/>
    <w:tmpl w:val="699554B0"/>
    <w:lvl w:ilvl="0" w:tentative="0">
      <w:start w:val="1"/>
      <w:numFmt w:val="japaneseCounting"/>
      <w:lvlText w:val="第%1章"/>
      <w:lvlJc w:val="left"/>
      <w:pPr>
        <w:tabs>
          <w:tab w:val="left" w:pos="1410"/>
        </w:tabs>
        <w:ind w:left="1410" w:hanging="1410"/>
      </w:pPr>
      <w:rPr>
        <w:rFonts w:hint="eastAsia"/>
      </w:rPr>
    </w:lvl>
  </w:abstractNum>
  <w:abstractNum w:abstractNumId="15">
    <w:nsid w:val="6AF20863"/>
    <w:multiLevelType w:val="singleLevel"/>
    <w:tmpl w:val="6AF20863"/>
    <w:lvl w:ilvl="0" w:tentative="0">
      <w:start w:val="1"/>
      <w:numFmt w:val="decimal"/>
      <w:lvlText w:val="%1、"/>
      <w:lvlJc w:val="left"/>
      <w:pPr>
        <w:tabs>
          <w:tab w:val="left" w:pos="1080"/>
        </w:tabs>
        <w:ind w:left="1080" w:hanging="360"/>
      </w:pPr>
      <w:rPr>
        <w:rFonts w:hint="eastAsia"/>
      </w:rPr>
    </w:lvl>
  </w:abstractNum>
  <w:abstractNum w:abstractNumId="16">
    <w:nsid w:val="7FB4007F"/>
    <w:multiLevelType w:val="singleLevel"/>
    <w:tmpl w:val="7FB4007F"/>
    <w:lvl w:ilvl="0" w:tentative="0">
      <w:start w:val="1"/>
      <w:numFmt w:val="japaneseCounting"/>
      <w:lvlText w:val="（%1）"/>
      <w:lvlJc w:val="left"/>
      <w:pPr>
        <w:tabs>
          <w:tab w:val="left" w:pos="720"/>
        </w:tabs>
        <w:ind w:left="720" w:hanging="720"/>
      </w:pPr>
      <w:rPr>
        <w:rFonts w:hint="eastAsia"/>
      </w:rPr>
    </w:lvl>
  </w:abstractNum>
  <w:num w:numId="1">
    <w:abstractNumId w:val="14"/>
  </w:num>
  <w:num w:numId="2">
    <w:abstractNumId w:val="1"/>
  </w:num>
  <w:num w:numId="3">
    <w:abstractNumId w:val="3"/>
  </w:num>
  <w:num w:numId="4">
    <w:abstractNumId w:val="11"/>
  </w:num>
  <w:num w:numId="5">
    <w:abstractNumId w:val="4"/>
  </w:num>
  <w:num w:numId="6">
    <w:abstractNumId w:val="16"/>
  </w:num>
  <w:num w:numId="7">
    <w:abstractNumId w:val="10"/>
  </w:num>
  <w:num w:numId="8">
    <w:abstractNumId w:val="5"/>
  </w:num>
  <w:num w:numId="9">
    <w:abstractNumId w:val="2"/>
  </w:num>
  <w:num w:numId="10">
    <w:abstractNumId w:val="6"/>
  </w:num>
  <w:num w:numId="11">
    <w:abstractNumId w:val="13"/>
  </w:num>
  <w:num w:numId="12">
    <w:abstractNumId w:val="8"/>
  </w:num>
  <w:num w:numId="13">
    <w:abstractNumId w:val="0"/>
  </w:num>
  <w:num w:numId="14">
    <w:abstractNumId w:val="9"/>
  </w:num>
  <w:num w:numId="15">
    <w:abstractNumId w:val="15"/>
  </w:num>
  <w:num w:numId="16">
    <w:abstractNumId w:val="7"/>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NmMmIwMWIxYzAyZmZiMWZlOTY3NTcxZmU2NzhhZTEifQ=="/>
  </w:docVars>
  <w:rsids>
    <w:rsidRoot w:val="0003227F"/>
    <w:rsid w:val="00010281"/>
    <w:rsid w:val="0003227F"/>
    <w:rsid w:val="00077268"/>
    <w:rsid w:val="000C494F"/>
    <w:rsid w:val="00122EE2"/>
    <w:rsid w:val="00147F8E"/>
    <w:rsid w:val="00165D9B"/>
    <w:rsid w:val="001944D8"/>
    <w:rsid w:val="001F2364"/>
    <w:rsid w:val="00225116"/>
    <w:rsid w:val="00233EBF"/>
    <w:rsid w:val="002A6640"/>
    <w:rsid w:val="003B4CB8"/>
    <w:rsid w:val="0047452F"/>
    <w:rsid w:val="004825BD"/>
    <w:rsid w:val="004A0321"/>
    <w:rsid w:val="005F639E"/>
    <w:rsid w:val="006E5F42"/>
    <w:rsid w:val="006E7847"/>
    <w:rsid w:val="00724074"/>
    <w:rsid w:val="00775358"/>
    <w:rsid w:val="007C0D66"/>
    <w:rsid w:val="007D1FA4"/>
    <w:rsid w:val="007E122B"/>
    <w:rsid w:val="00844DD2"/>
    <w:rsid w:val="008C20D9"/>
    <w:rsid w:val="008D5FE6"/>
    <w:rsid w:val="008E42D2"/>
    <w:rsid w:val="008E5885"/>
    <w:rsid w:val="00985725"/>
    <w:rsid w:val="009F1F0E"/>
    <w:rsid w:val="00A42289"/>
    <w:rsid w:val="00C33F52"/>
    <w:rsid w:val="00E33410"/>
    <w:rsid w:val="00E44314"/>
    <w:rsid w:val="00E83F74"/>
    <w:rsid w:val="00E860DC"/>
    <w:rsid w:val="00F446A6"/>
    <w:rsid w:val="00F5555D"/>
    <w:rsid w:val="00F75392"/>
    <w:rsid w:val="00F777C5"/>
    <w:rsid w:val="00F840AF"/>
    <w:rsid w:val="00F912DB"/>
    <w:rsid w:val="00FC6DCD"/>
    <w:rsid w:val="056A57F8"/>
    <w:rsid w:val="074064B4"/>
    <w:rsid w:val="076170CE"/>
    <w:rsid w:val="08A75887"/>
    <w:rsid w:val="0A283ED3"/>
    <w:rsid w:val="0D584ACF"/>
    <w:rsid w:val="0DAE5F61"/>
    <w:rsid w:val="0E1218CD"/>
    <w:rsid w:val="106612B1"/>
    <w:rsid w:val="134A4EBA"/>
    <w:rsid w:val="16924BD5"/>
    <w:rsid w:val="18811355"/>
    <w:rsid w:val="19AA66BD"/>
    <w:rsid w:val="1B324DA3"/>
    <w:rsid w:val="1F1B2CCF"/>
    <w:rsid w:val="23346BE7"/>
    <w:rsid w:val="259C15A5"/>
    <w:rsid w:val="25F3318F"/>
    <w:rsid w:val="26705224"/>
    <w:rsid w:val="26CD7CB4"/>
    <w:rsid w:val="2B326508"/>
    <w:rsid w:val="2D7050C6"/>
    <w:rsid w:val="2E0D78B9"/>
    <w:rsid w:val="313C46B1"/>
    <w:rsid w:val="34D643A8"/>
    <w:rsid w:val="35212A20"/>
    <w:rsid w:val="36F46AAD"/>
    <w:rsid w:val="37895702"/>
    <w:rsid w:val="3846389F"/>
    <w:rsid w:val="38BE762D"/>
    <w:rsid w:val="38C03C2B"/>
    <w:rsid w:val="3C3F258B"/>
    <w:rsid w:val="40147897"/>
    <w:rsid w:val="40157A83"/>
    <w:rsid w:val="40994C08"/>
    <w:rsid w:val="41DD0B24"/>
    <w:rsid w:val="444430DC"/>
    <w:rsid w:val="44556A75"/>
    <w:rsid w:val="454431AD"/>
    <w:rsid w:val="45A8769B"/>
    <w:rsid w:val="46357180"/>
    <w:rsid w:val="46FC1A4C"/>
    <w:rsid w:val="48087637"/>
    <w:rsid w:val="48325E9B"/>
    <w:rsid w:val="485D395C"/>
    <w:rsid w:val="489B7043"/>
    <w:rsid w:val="490168B9"/>
    <w:rsid w:val="4A8E3303"/>
    <w:rsid w:val="4CB50509"/>
    <w:rsid w:val="4CF84A64"/>
    <w:rsid w:val="4CF91418"/>
    <w:rsid w:val="4EE67E54"/>
    <w:rsid w:val="50A767FB"/>
    <w:rsid w:val="535D7D17"/>
    <w:rsid w:val="540B1521"/>
    <w:rsid w:val="54F8288E"/>
    <w:rsid w:val="55525033"/>
    <w:rsid w:val="56B24CB6"/>
    <w:rsid w:val="58492617"/>
    <w:rsid w:val="58845D45"/>
    <w:rsid w:val="59E51E95"/>
    <w:rsid w:val="5AE75732"/>
    <w:rsid w:val="5D602736"/>
    <w:rsid w:val="5D764006"/>
    <w:rsid w:val="5D8D744A"/>
    <w:rsid w:val="5E744166"/>
    <w:rsid w:val="5ED502D9"/>
    <w:rsid w:val="62F575D2"/>
    <w:rsid w:val="669B668A"/>
    <w:rsid w:val="66DC4A81"/>
    <w:rsid w:val="688D6792"/>
    <w:rsid w:val="6AE955EB"/>
    <w:rsid w:val="6B715CB5"/>
    <w:rsid w:val="6D033285"/>
    <w:rsid w:val="700F1F41"/>
    <w:rsid w:val="722F0678"/>
    <w:rsid w:val="728C5ACB"/>
    <w:rsid w:val="7D7D2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rPr>
      <w:rFonts w:ascii="Times New Roman" w:hAnsi="Times New Roman"/>
    </w:rPr>
  </w:style>
  <w:style w:type="paragraph" w:styleId="3">
    <w:name w:val="Body Text"/>
    <w:basedOn w:val="1"/>
    <w:qFormat/>
    <w:uiPriority w:val="0"/>
    <w:pPr>
      <w:tabs>
        <w:tab w:val="left" w:pos="0"/>
        <w:tab w:val="left" w:pos="2400"/>
      </w:tabs>
      <w:spacing w:line="400" w:lineRule="atLeast"/>
    </w:pPr>
    <w:rPr>
      <w:sz w:val="24"/>
    </w:rPr>
  </w:style>
  <w:style w:type="paragraph" w:styleId="4">
    <w:name w:val="Balloon Text"/>
    <w:basedOn w:val="1"/>
    <w:link w:val="13"/>
    <w:qFormat/>
    <w:uiPriority w:val="0"/>
    <w:rPr>
      <w:rFonts w:ascii="Segoe UI" w:hAnsi="Segoe UI" w:cs="Segoe UI"/>
      <w:sz w:val="18"/>
      <w:szCs w:val="18"/>
    </w:rPr>
  </w:style>
  <w:style w:type="paragraph" w:styleId="5">
    <w:name w:val="footer"/>
    <w:basedOn w:val="1"/>
    <w:link w:val="12"/>
    <w:qFormat/>
    <w:uiPriority w:val="99"/>
    <w:pPr>
      <w:tabs>
        <w:tab w:val="center" w:pos="4153"/>
        <w:tab w:val="right" w:pos="8306"/>
      </w:tabs>
      <w:snapToGrid w:val="0"/>
      <w:jc w:val="left"/>
    </w:pPr>
    <w:rPr>
      <w:sz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customStyle="1" w:styleId="11">
    <w:name w:val="Header Char"/>
    <w:basedOn w:val="9"/>
    <w:link w:val="6"/>
    <w:qFormat/>
    <w:uiPriority w:val="0"/>
    <w:rPr>
      <w:kern w:val="2"/>
      <w:sz w:val="18"/>
      <w:szCs w:val="18"/>
    </w:rPr>
  </w:style>
  <w:style w:type="character" w:customStyle="1" w:styleId="12">
    <w:name w:val="Footer Char"/>
    <w:basedOn w:val="9"/>
    <w:link w:val="5"/>
    <w:qFormat/>
    <w:uiPriority w:val="99"/>
    <w:rPr>
      <w:kern w:val="2"/>
      <w:sz w:val="18"/>
    </w:rPr>
  </w:style>
  <w:style w:type="character" w:customStyle="1" w:styleId="13">
    <w:name w:val="Balloon Text Char"/>
    <w:basedOn w:val="9"/>
    <w:link w:val="4"/>
    <w:qFormat/>
    <w:uiPriority w:val="0"/>
    <w:rPr>
      <w:rFonts w:ascii="Segoe UI" w:hAnsi="Segoe UI" w:cs="Segoe UI"/>
      <w:kern w:val="2"/>
      <w:sz w:val="18"/>
      <w:szCs w:val="18"/>
      <w:lang w:val="en-US"/>
    </w:rPr>
  </w:style>
  <w:style w:type="character" w:customStyle="1" w:styleId="14">
    <w:name w:val="DeltaView Insertion"/>
    <w:qFormat/>
    <w:uiPriority w:val="99"/>
    <w:rPr>
      <w:color w:val="0000FF"/>
      <w:u w:val="double"/>
    </w:rPr>
  </w:style>
  <w:style w:type="paragraph" w:customStyle="1" w:styleId="15">
    <w:name w:val="Revision"/>
    <w:hidden/>
    <w:semiHidden/>
    <w:qFormat/>
    <w:uiPriority w:val="99"/>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401890-E2C4-4C79-8FDD-3FAE0A60BCD7}">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12150</Words>
  <Characters>12516</Characters>
  <Lines>46</Lines>
  <Paragraphs>283</Paragraphs>
  <TotalTime>0</TotalTime>
  <ScaleCrop>false</ScaleCrop>
  <LinksUpToDate>false</LinksUpToDate>
  <CharactersWithSpaces>12941</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2023-06-19T07:54:00Z</dcterms:created>
  <dc:creator>Administrator</dc:creator>
  <cp:lastModifiedBy>木可三曰</cp:lastModifiedBy>
  <cp:lastPrinted>2023-06-19T07:54:00Z</cp:lastPrinted>
  <dcterms:modified xsi:type="dcterms:W3CDTF">2023-06-20T11:19:55Z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2B8572D297B7414A920EA12E2F0181CB_12</vt:lpwstr>
  </property>
</Properties>
</file>