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股票简称：宁沪高速          股票代码：600377           编号：临2022-</w:t>
      </w:r>
      <w:r>
        <w:rPr>
          <w:rFonts w:hint="eastAsia" w:ascii="Times New Roman" w:hAnsi="Times New Roman" w:eastAsia="宋体" w:cs="Times New Roman"/>
          <w:b/>
          <w:sz w:val="24"/>
          <w:szCs w:val="24"/>
        </w:rPr>
        <w:t>48</w:t>
      </w:r>
    </w:p>
    <w:p>
      <w:pPr>
        <w:adjustRightInd w:val="0"/>
        <w:snapToGrid w:val="0"/>
        <w:spacing w:line="312" w:lineRule="auto"/>
        <w:jc w:val="center"/>
        <w:rPr>
          <w:rFonts w:ascii="Times New Roman" w:hAnsi="Times New Roman" w:eastAsia="宋体" w:cs="Times New Roman"/>
          <w:b/>
          <w:sz w:val="24"/>
          <w:szCs w:val="24"/>
        </w:rPr>
      </w:pPr>
    </w:p>
    <w:p>
      <w:pPr>
        <w:adjustRightInd w:val="0"/>
        <w:snapToGrid w:val="0"/>
        <w:spacing w:line="360" w:lineRule="auto"/>
        <w:jc w:val="center"/>
        <w:rPr>
          <w:rFonts w:ascii="Times New Roman" w:hAnsi="Times New Roman" w:eastAsia="宋体" w:cs="Times New Roman"/>
          <w:b/>
          <w:sz w:val="28"/>
          <w:szCs w:val="28"/>
        </w:rPr>
      </w:pPr>
      <w:r>
        <w:rPr>
          <w:rFonts w:ascii="Times New Roman" w:hAnsi="Times New Roman" w:eastAsia="宋体" w:cs="Times New Roman"/>
          <w:b/>
          <w:sz w:val="28"/>
          <w:szCs w:val="28"/>
        </w:rPr>
        <w:t>江苏宁沪高速公路股份有限公司</w:t>
      </w:r>
    </w:p>
    <w:p>
      <w:pPr>
        <w:autoSpaceDE w:val="0"/>
        <w:autoSpaceDN w:val="0"/>
        <w:adjustRightInd w:val="0"/>
        <w:snapToGrid w:val="0"/>
        <w:spacing w:line="560" w:lineRule="exact"/>
        <w:jc w:val="center"/>
        <w:rPr>
          <w:rFonts w:ascii="仿宋" w:hAnsi="仿宋" w:eastAsia="仿宋_GB2312"/>
          <w:bCs/>
          <w:sz w:val="30"/>
          <w:szCs w:val="30"/>
        </w:rPr>
      </w:pPr>
      <w:r>
        <w:rPr>
          <w:rFonts w:hint="eastAsia" w:ascii="Times New Roman" w:hAnsi="Times New Roman" w:cs="Times New Roman"/>
          <w:b/>
          <w:sz w:val="28"/>
          <w:szCs w:val="28"/>
        </w:rPr>
        <w:t>关于投资锡宜高速公路南段扩建项目</w:t>
      </w:r>
      <w:r>
        <w:rPr>
          <w:rFonts w:ascii="Times New Roman" w:hAnsi="Times New Roman" w:cs="Times New Roman"/>
          <w:b/>
          <w:sz w:val="28"/>
          <w:szCs w:val="28"/>
        </w:rPr>
        <w:t>的公告</w:t>
      </w:r>
    </w:p>
    <w:tbl>
      <w:tblPr>
        <w:tblStyle w:val="13"/>
        <w:tblpPr w:leftFromText="180" w:rightFromText="180" w:vertAnchor="text" w:horzAnchor="margin" w:tblpY="97"/>
        <w:tblW w:w="86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trPr>
        <w:tc>
          <w:tcPr>
            <w:tcW w:w="8623" w:type="dxa"/>
          </w:tcPr>
          <w:p>
            <w:pPr>
              <w:autoSpaceDE w:val="0"/>
              <w:autoSpaceDN w:val="0"/>
              <w:adjustRightInd w:val="0"/>
              <w:snapToGrid w:val="0"/>
              <w:spacing w:before="100" w:beforeAutospacing="1" w:after="100" w:afterAutospacing="1" w:line="360" w:lineRule="auto"/>
              <w:rPr>
                <w:rFonts w:ascii="宋体" w:hAnsi="宋体" w:eastAsia="宋体" w:cs="宋体"/>
                <w:sz w:val="24"/>
              </w:rPr>
            </w:pPr>
            <w:r>
              <w:rPr>
                <w:rFonts w:hint="eastAsia" w:ascii="宋体" w:hAnsi="宋体" w:eastAsia="宋体" w:cs="宋体"/>
                <w:b/>
                <w:sz w:val="24"/>
              </w:rPr>
              <w:t>本公司董事会及全体董事保证本公告内容不存在任何虚假记载、误导性陈述或者重大遗漏，并对其内容的真实性、准确性和完整性承担个别及连带责任。</w:t>
            </w:r>
          </w:p>
        </w:tc>
      </w:tr>
    </w:tbl>
    <w:p>
      <w:pPr>
        <w:adjustRightInd w:val="0"/>
        <w:snapToGrid w:val="0"/>
        <w:spacing w:line="560" w:lineRule="exact"/>
        <w:rPr>
          <w:rFonts w:ascii="仿宋_GB2312" w:hAnsi="宋体" w:eastAsia="仿宋_GB2312"/>
          <w:sz w:val="30"/>
          <w:szCs w:val="30"/>
        </w:rPr>
      </w:pPr>
    </w:p>
    <w:p>
      <w:pPr>
        <w:adjustRightInd w:val="0"/>
        <w:snapToGrid w:val="0"/>
        <w:spacing w:line="560" w:lineRule="exact"/>
        <w:ind w:firstLine="482" w:firstLineChars="200"/>
        <w:rPr>
          <w:rFonts w:ascii="宋体" w:hAnsi="宋体" w:cs="宋体"/>
          <w:color w:val="000000"/>
          <w:sz w:val="24"/>
          <w:szCs w:val="24"/>
        </w:rPr>
      </w:pPr>
      <w:r>
        <w:rPr>
          <w:rFonts w:hint="eastAsia" w:ascii="宋体" w:hAnsi="宋体" w:eastAsia="宋体" w:cs="宋体"/>
          <w:b/>
          <w:sz w:val="24"/>
          <w:szCs w:val="24"/>
        </w:rPr>
        <w:t>重要内容提示：</w:t>
      </w:r>
    </w:p>
    <w:p>
      <w:pPr>
        <w:pStyle w:val="20"/>
        <w:numPr>
          <w:ilvl w:val="0"/>
          <w:numId w:val="2"/>
        </w:numPr>
        <w:adjustRightInd w:val="0"/>
        <w:snapToGrid w:val="0"/>
        <w:spacing w:line="560" w:lineRule="exact"/>
        <w:ind w:left="0" w:firstLine="480"/>
        <w:rPr>
          <w:rFonts w:ascii="宋体" w:hAnsi="宋体" w:cs="宋体"/>
          <w:bCs/>
          <w:sz w:val="30"/>
          <w:szCs w:val="30"/>
        </w:rPr>
      </w:pPr>
      <w:r>
        <w:rPr>
          <w:rFonts w:hint="eastAsia" w:ascii="宋体" w:hAnsi="宋体" w:cs="宋体"/>
          <w:color w:val="000000"/>
          <w:sz w:val="24"/>
          <w:szCs w:val="24"/>
        </w:rPr>
        <w:t>投资标的名称：江苏宁沪高速公路股份有限公司（以下简称“本公司”）控股子公司江苏广靖锡澄高速公路有责任限公司（以下简称“广靖锡澄公司”）所辖无锡至宜兴高速公路雪堰枢纽至西坞枢纽段扩建工程（以下简称“锡宜高速公路南段扩建项目”）</w:t>
      </w:r>
      <w:r>
        <w:rPr>
          <w:rFonts w:hint="eastAsia" w:ascii="宋体" w:hAnsi="宋体" w:cs="宋体"/>
          <w:color w:val="000000"/>
          <w:sz w:val="24"/>
          <w:szCs w:val="24"/>
          <w:lang w:eastAsia="zh-CN"/>
        </w:rPr>
        <w:t>。</w:t>
      </w:r>
    </w:p>
    <w:p>
      <w:pPr>
        <w:pStyle w:val="20"/>
        <w:numPr>
          <w:ilvl w:val="0"/>
          <w:numId w:val="2"/>
        </w:numPr>
        <w:adjustRightInd w:val="0"/>
        <w:snapToGrid w:val="0"/>
        <w:spacing w:line="560" w:lineRule="exact"/>
        <w:ind w:left="0" w:firstLine="480"/>
        <w:rPr>
          <w:rFonts w:ascii="宋体" w:hAnsi="宋体" w:cs="宋体"/>
          <w:bCs/>
          <w:sz w:val="30"/>
          <w:szCs w:val="30"/>
        </w:rPr>
      </w:pPr>
      <w:r>
        <w:rPr>
          <w:rFonts w:hint="eastAsia" w:ascii="宋体" w:hAnsi="宋体" w:cs="宋体"/>
          <w:color w:val="000000"/>
          <w:sz w:val="24"/>
          <w:szCs w:val="24"/>
        </w:rPr>
        <w:t>投资金额：本次锡宜高速公路南段扩建项目概算为77.5491亿元。</w:t>
      </w:r>
    </w:p>
    <w:p>
      <w:pPr>
        <w:pStyle w:val="20"/>
        <w:numPr>
          <w:ilvl w:val="0"/>
          <w:numId w:val="2"/>
        </w:numPr>
        <w:adjustRightInd w:val="0"/>
        <w:snapToGrid w:val="0"/>
        <w:spacing w:line="560" w:lineRule="exact"/>
        <w:ind w:left="0" w:firstLine="480"/>
        <w:rPr>
          <w:rFonts w:ascii="宋体" w:hAnsi="宋体" w:cs="宋体"/>
          <w:bCs/>
          <w:sz w:val="30"/>
          <w:szCs w:val="30"/>
        </w:rPr>
      </w:pPr>
      <w:r>
        <w:rPr>
          <w:rFonts w:hint="eastAsia" w:ascii="宋体" w:hAnsi="宋体" w:cs="宋体"/>
          <w:color w:val="000000"/>
          <w:sz w:val="24"/>
          <w:szCs w:val="24"/>
        </w:rPr>
        <w:t>相关风险提示：可能存在国家收费公路政策变化及经营等方面的风险，公司将根据项目进展做好相关风险的控制。</w:t>
      </w:r>
    </w:p>
    <w:p>
      <w:pPr>
        <w:autoSpaceDE w:val="0"/>
        <w:autoSpaceDN w:val="0"/>
        <w:adjustRightInd w:val="0"/>
        <w:snapToGrid w:val="0"/>
        <w:spacing w:line="560" w:lineRule="exact"/>
        <w:ind w:firstLine="482" w:firstLineChars="200"/>
        <w:rPr>
          <w:rFonts w:ascii="宋体" w:hAnsi="宋体" w:eastAsia="宋体" w:cs="宋体"/>
          <w:b/>
          <w:sz w:val="24"/>
          <w:szCs w:val="24"/>
        </w:rPr>
      </w:pPr>
      <w:r>
        <w:rPr>
          <w:rFonts w:hint="eastAsia" w:ascii="宋体" w:hAnsi="宋体" w:eastAsia="宋体" w:cs="宋体"/>
          <w:b/>
          <w:sz w:val="24"/>
          <w:szCs w:val="24"/>
        </w:rPr>
        <w:t>一、对外投资概述</w:t>
      </w:r>
    </w:p>
    <w:p>
      <w:pPr>
        <w:autoSpaceDE w:val="0"/>
        <w:autoSpaceDN w:val="0"/>
        <w:adjustRightInd w:val="0"/>
        <w:spacing w:line="360" w:lineRule="auto"/>
        <w:ind w:left="210" w:leftChars="100" w:firstLine="480" w:firstLineChars="200"/>
        <w:rPr>
          <w:rFonts w:ascii="宋体" w:hAnsi="宋体" w:eastAsia="宋体" w:cs="宋体"/>
          <w:sz w:val="24"/>
          <w:szCs w:val="24"/>
        </w:rPr>
      </w:pPr>
      <w:r>
        <w:rPr>
          <w:rFonts w:hint="eastAsia" w:ascii="宋体" w:hAnsi="宋体" w:eastAsia="宋体" w:cs="宋体"/>
          <w:sz w:val="24"/>
          <w:szCs w:val="24"/>
        </w:rPr>
        <w:t>为服务长三角区域一体化，构筑运输能力匹配的路网通道，满足快速增长的交通需求，促进本公司健康可持续发展，本公司于2022年6月17日第十届董事会第十一次会议审议通过了《关于子公司广靖锡澄公司投资锡宜高速公路南段扩建项目的议案》。本公司控股子公司广靖锡澄公司投资人民币77.5491亿元实施锡宜高速公路南段扩建工程。</w:t>
      </w:r>
      <w:r>
        <w:rPr>
          <w:rFonts w:hint="eastAsia" w:ascii="宋体" w:hAnsi="宋体" w:cs="宋体"/>
          <w:color w:val="000000"/>
          <w:sz w:val="24"/>
          <w:szCs w:val="24"/>
        </w:rPr>
        <w:t>其中资本金约为人民币31.0196亿元，由控股子公司广靖锡澄公司自有资金投资，占总投资的40%</w:t>
      </w:r>
      <w:r>
        <w:rPr>
          <w:rFonts w:hint="eastAsia" w:ascii="宋体" w:hAnsi="宋体" w:eastAsia="宋体" w:cs="宋体"/>
          <w:sz w:val="24"/>
          <w:szCs w:val="24"/>
        </w:rPr>
        <w:t>，资本金以外部分通过国内银行贷款和地方出资共同筹措</w:t>
      </w:r>
      <w:r>
        <w:rPr>
          <w:rFonts w:hint="eastAsia" w:ascii="宋体" w:hAnsi="宋体" w:eastAsia="宋体" w:cs="宋体"/>
          <w:sz w:val="24"/>
          <w:szCs w:val="24"/>
          <w:lang w:eastAsia="zh-CN"/>
        </w:rPr>
        <w:t>，</w:t>
      </w:r>
      <w:r>
        <w:rPr>
          <w:rFonts w:hint="eastAsia" w:ascii="宋体" w:hAnsi="宋体" w:eastAsia="宋体" w:cs="宋体"/>
          <w:sz w:val="24"/>
          <w:szCs w:val="24"/>
        </w:rPr>
        <w:t>总建设工期约为3.5年。</w:t>
      </w:r>
    </w:p>
    <w:p>
      <w:pPr>
        <w:autoSpaceDE w:val="0"/>
        <w:autoSpaceDN w:val="0"/>
        <w:adjustRightInd w:val="0"/>
        <w:spacing w:line="360" w:lineRule="auto"/>
        <w:ind w:left="210" w:leftChars="100" w:firstLine="480" w:firstLineChars="200"/>
        <w:rPr>
          <w:rFonts w:ascii="宋体" w:hAnsi="宋体" w:eastAsia="宋体" w:cs="宋体"/>
          <w:sz w:val="24"/>
          <w:szCs w:val="24"/>
        </w:rPr>
      </w:pPr>
      <w:r>
        <w:rPr>
          <w:rFonts w:hint="eastAsia" w:ascii="宋体" w:hAnsi="宋体" w:eastAsia="宋体" w:cs="宋体"/>
          <w:sz w:val="24"/>
          <w:szCs w:val="24"/>
        </w:rPr>
        <w:t>根据《上海证券交易所股票上市规则》《公司章程》及其他相关规定，本次投资事项在董事会授权决策范围内，已经第十届董事会第十一次会议审议并批准，无需股东大会批准。</w:t>
      </w:r>
    </w:p>
    <w:p>
      <w:pPr>
        <w:autoSpaceDE w:val="0"/>
        <w:autoSpaceDN w:val="0"/>
        <w:adjustRightInd w:val="0"/>
        <w:spacing w:line="360" w:lineRule="auto"/>
        <w:ind w:left="210" w:leftChars="100" w:firstLine="480" w:firstLineChars="200"/>
        <w:rPr>
          <w:rFonts w:ascii="宋体" w:hAnsi="宋体" w:eastAsia="宋体" w:cs="宋体"/>
          <w:sz w:val="24"/>
          <w:szCs w:val="24"/>
        </w:rPr>
      </w:pPr>
      <w:r>
        <w:rPr>
          <w:rFonts w:hint="eastAsia" w:ascii="宋体" w:hAnsi="宋体" w:eastAsia="宋体" w:cs="宋体"/>
          <w:sz w:val="24"/>
          <w:szCs w:val="24"/>
        </w:rPr>
        <w:t>根据《上海证券交易所股票上市规则》《上市公司重大资产重组管理办法》的有关规定，本次投资事项不构成重大资产重组，不属于关联交易。</w:t>
      </w:r>
    </w:p>
    <w:p>
      <w:pPr>
        <w:autoSpaceDE w:val="0"/>
        <w:autoSpaceDN w:val="0"/>
        <w:adjustRightInd w:val="0"/>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二、投资协议主体的基本情况</w:t>
      </w:r>
    </w:p>
    <w:p>
      <w:pPr>
        <w:widowControl/>
        <w:adjustRightIn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（一）公司名称：江苏广靖锡澄高速公路有限责任公司</w:t>
      </w:r>
    </w:p>
    <w:p>
      <w:pPr>
        <w:widowControl/>
        <w:adjustRightIn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（二）企业性质：有限责任公司</w:t>
      </w:r>
    </w:p>
    <w:p>
      <w:pPr>
        <w:widowControl/>
        <w:adjustRightIn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（三）注册资本：250,000万元</w:t>
      </w:r>
    </w:p>
    <w:p>
      <w:pPr>
        <w:widowControl/>
        <w:adjustRightIn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（四）注册地址：江苏省南京市仙林大道6号</w:t>
      </w:r>
    </w:p>
    <w:p>
      <w:pPr>
        <w:widowControl/>
        <w:adjustRightIn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（五）法定代表人：娄钧</w:t>
      </w:r>
    </w:p>
    <w:p>
      <w:pPr>
        <w:widowControl/>
        <w:adjustRightIn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（六）经营范围：高速公路建设、管理、养护及收费</w:t>
      </w:r>
    </w:p>
    <w:p>
      <w:pPr>
        <w:widowControl/>
        <w:adjustRightIn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（七）股东情况：</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0"/>
        <w:gridCol w:w="5000"/>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tcPr>
          <w:p>
            <w:pPr>
              <w:widowControl/>
              <w:adjustRightInd w:val="0"/>
              <w:spacing w:line="360" w:lineRule="auto"/>
              <w:rPr>
                <w:rFonts w:ascii="宋体" w:hAnsi="宋体" w:cs="宋体"/>
                <w:color w:val="000000"/>
                <w:sz w:val="24"/>
                <w:szCs w:val="24"/>
              </w:rPr>
            </w:pPr>
            <w:r>
              <w:rPr>
                <w:rFonts w:hint="eastAsia" w:ascii="宋体" w:hAnsi="宋体" w:cs="宋体"/>
                <w:color w:val="000000"/>
                <w:sz w:val="24"/>
                <w:szCs w:val="24"/>
              </w:rPr>
              <w:t>序号</w:t>
            </w:r>
          </w:p>
        </w:tc>
        <w:tc>
          <w:tcPr>
            <w:tcW w:w="5000" w:type="dxa"/>
          </w:tcPr>
          <w:p>
            <w:pPr>
              <w:widowControl/>
              <w:adjustRightInd w:val="0"/>
              <w:spacing w:line="360" w:lineRule="auto"/>
              <w:rPr>
                <w:rFonts w:ascii="宋体" w:hAnsi="宋体" w:cs="宋体"/>
                <w:color w:val="000000"/>
                <w:sz w:val="24"/>
                <w:szCs w:val="24"/>
              </w:rPr>
            </w:pPr>
            <w:r>
              <w:rPr>
                <w:rFonts w:hint="eastAsia" w:ascii="宋体" w:hAnsi="宋体" w:cs="宋体"/>
                <w:color w:val="000000"/>
                <w:sz w:val="24"/>
                <w:szCs w:val="24"/>
              </w:rPr>
              <w:t>股东名称</w:t>
            </w:r>
          </w:p>
        </w:tc>
        <w:tc>
          <w:tcPr>
            <w:tcW w:w="2352" w:type="dxa"/>
          </w:tcPr>
          <w:p>
            <w:pPr>
              <w:widowControl/>
              <w:adjustRightInd w:val="0"/>
              <w:spacing w:line="360" w:lineRule="auto"/>
              <w:rPr>
                <w:rFonts w:ascii="宋体" w:hAnsi="宋体" w:cs="宋体"/>
                <w:color w:val="000000"/>
                <w:sz w:val="24"/>
                <w:szCs w:val="24"/>
              </w:rPr>
            </w:pPr>
            <w:r>
              <w:rPr>
                <w:rFonts w:hint="eastAsia" w:ascii="宋体" w:hAnsi="宋体" w:cs="宋体"/>
                <w:color w:val="000000"/>
                <w:sz w:val="24"/>
                <w:szCs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tcPr>
          <w:p>
            <w:pPr>
              <w:widowControl/>
              <w:adjustRightInd w:val="0"/>
              <w:spacing w:line="360" w:lineRule="auto"/>
              <w:rPr>
                <w:rFonts w:ascii="宋体" w:hAnsi="宋体" w:cs="宋体"/>
                <w:color w:val="000000"/>
                <w:sz w:val="24"/>
                <w:szCs w:val="24"/>
              </w:rPr>
            </w:pPr>
            <w:r>
              <w:rPr>
                <w:rFonts w:hint="eastAsia" w:ascii="宋体" w:hAnsi="宋体" w:cs="宋体"/>
                <w:color w:val="000000"/>
                <w:sz w:val="24"/>
                <w:szCs w:val="24"/>
              </w:rPr>
              <w:t>1</w:t>
            </w:r>
          </w:p>
        </w:tc>
        <w:tc>
          <w:tcPr>
            <w:tcW w:w="5000" w:type="dxa"/>
          </w:tcPr>
          <w:p>
            <w:pPr>
              <w:widowControl/>
              <w:adjustRightInd w:val="0"/>
              <w:spacing w:line="360" w:lineRule="auto"/>
              <w:rPr>
                <w:rFonts w:ascii="宋体" w:hAnsi="宋体" w:cs="宋体"/>
                <w:color w:val="000000"/>
                <w:sz w:val="24"/>
                <w:szCs w:val="24"/>
              </w:rPr>
            </w:pPr>
            <w:r>
              <w:rPr>
                <w:rFonts w:ascii="宋体" w:hAnsi="宋体" w:cs="宋体"/>
                <w:color w:val="000000"/>
                <w:sz w:val="24"/>
                <w:szCs w:val="24"/>
              </w:rPr>
              <w:t>江苏宁沪高速公路股份有限公司</w:t>
            </w:r>
          </w:p>
        </w:tc>
        <w:tc>
          <w:tcPr>
            <w:tcW w:w="2352" w:type="dxa"/>
          </w:tcPr>
          <w:p>
            <w:pPr>
              <w:widowControl/>
              <w:adjustRightInd w:val="0"/>
              <w:spacing w:line="360" w:lineRule="auto"/>
              <w:rPr>
                <w:rFonts w:ascii="宋体" w:hAnsi="宋体" w:cs="宋体"/>
                <w:color w:val="000000"/>
                <w:sz w:val="24"/>
                <w:szCs w:val="24"/>
              </w:rPr>
            </w:pPr>
            <w:r>
              <w:rPr>
                <w:rFonts w:hint="eastAsia" w:ascii="宋体" w:hAnsi="宋体" w:cs="宋体"/>
                <w:color w:val="000000"/>
                <w:sz w:val="24"/>
                <w:szCs w:val="24"/>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tcPr>
          <w:p>
            <w:pPr>
              <w:widowControl/>
              <w:adjustRightInd w:val="0"/>
              <w:spacing w:line="360" w:lineRule="auto"/>
              <w:rPr>
                <w:rFonts w:ascii="宋体" w:hAnsi="宋体" w:cs="宋体"/>
                <w:color w:val="000000"/>
                <w:sz w:val="24"/>
                <w:szCs w:val="24"/>
              </w:rPr>
            </w:pPr>
            <w:r>
              <w:rPr>
                <w:rFonts w:hint="eastAsia" w:ascii="宋体" w:hAnsi="宋体" w:cs="宋体"/>
                <w:color w:val="000000"/>
                <w:sz w:val="24"/>
                <w:szCs w:val="24"/>
              </w:rPr>
              <w:t>2</w:t>
            </w:r>
          </w:p>
        </w:tc>
        <w:tc>
          <w:tcPr>
            <w:tcW w:w="5000" w:type="dxa"/>
          </w:tcPr>
          <w:p>
            <w:pPr>
              <w:widowControl/>
              <w:adjustRightInd w:val="0"/>
              <w:spacing w:line="360" w:lineRule="auto"/>
              <w:rPr>
                <w:rFonts w:ascii="宋体" w:hAnsi="宋体" w:cs="宋体"/>
                <w:color w:val="000000"/>
                <w:sz w:val="24"/>
                <w:szCs w:val="24"/>
              </w:rPr>
            </w:pPr>
            <w:r>
              <w:rPr>
                <w:rFonts w:hint="eastAsia" w:ascii="宋体" w:hAnsi="宋体" w:cs="宋体"/>
                <w:color w:val="000000"/>
                <w:sz w:val="24"/>
                <w:szCs w:val="24"/>
              </w:rPr>
              <w:t>招商局公路网络科技控股股份有限公司</w:t>
            </w:r>
          </w:p>
        </w:tc>
        <w:tc>
          <w:tcPr>
            <w:tcW w:w="2352" w:type="dxa"/>
          </w:tcPr>
          <w:p>
            <w:pPr>
              <w:widowControl/>
              <w:adjustRightInd w:val="0"/>
              <w:spacing w:line="360" w:lineRule="auto"/>
              <w:rPr>
                <w:rFonts w:ascii="宋体" w:hAnsi="宋体" w:cs="宋体"/>
                <w:color w:val="000000"/>
                <w:sz w:val="24"/>
                <w:szCs w:val="24"/>
              </w:rPr>
            </w:pPr>
            <w:r>
              <w:rPr>
                <w:rFonts w:hint="eastAsia" w:ascii="宋体" w:hAnsi="宋体" w:cs="宋体"/>
                <w:color w:val="000000"/>
                <w:sz w:val="24"/>
                <w:szCs w:val="24"/>
              </w:rPr>
              <w:t>15.00%</w:t>
            </w:r>
          </w:p>
        </w:tc>
      </w:tr>
    </w:tbl>
    <w:p>
      <w:pPr>
        <w:widowControl/>
        <w:numPr>
          <w:ilvl w:val="0"/>
          <w:numId w:val="3"/>
        </w:numPr>
        <w:adjustRightIn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主要财务数据：</w:t>
      </w:r>
    </w:p>
    <w:p>
      <w:pPr>
        <w:widowControl/>
        <w:adjustRightInd w:val="0"/>
        <w:snapToGrid w:val="0"/>
        <w:spacing w:line="560" w:lineRule="exact"/>
        <w:ind w:firstLine="480" w:firstLineChars="200"/>
        <w:rPr>
          <w:rFonts w:ascii="宋体" w:hAnsi="宋体" w:cs="宋体"/>
          <w:color w:val="000000"/>
          <w:sz w:val="24"/>
          <w:szCs w:val="24"/>
        </w:rPr>
      </w:pPr>
      <w:r>
        <w:rPr>
          <w:rFonts w:hint="eastAsia" w:ascii="宋体" w:hAnsi="宋体" w:cs="宋体"/>
          <w:color w:val="000000"/>
          <w:sz w:val="24"/>
          <w:szCs w:val="24"/>
        </w:rPr>
        <w:t>广靖锡澄公司最近一年及一期的主要财务数据如下：</w:t>
      </w:r>
    </w:p>
    <w:p>
      <w:pPr>
        <w:widowControl/>
        <w:adjustRightInd w:val="0"/>
        <w:snapToGrid w:val="0"/>
        <w:spacing w:line="560" w:lineRule="exact"/>
        <w:ind w:firstLine="480" w:firstLineChars="200"/>
        <w:jc w:val="right"/>
        <w:rPr>
          <w:rFonts w:ascii="宋体" w:hAnsi="宋体" w:cs="宋体"/>
          <w:color w:val="000000"/>
          <w:sz w:val="24"/>
          <w:szCs w:val="24"/>
        </w:rPr>
      </w:pPr>
      <w:r>
        <w:rPr>
          <w:rFonts w:hint="eastAsia" w:ascii="宋体" w:hAnsi="宋体" w:cs="宋体"/>
          <w:color w:val="000000"/>
          <w:sz w:val="24"/>
          <w:szCs w:val="24"/>
        </w:rPr>
        <w:t>单位：万元</w:t>
      </w:r>
    </w:p>
    <w:tbl>
      <w:tblPr>
        <w:tblStyle w:val="14"/>
        <w:tblW w:w="85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5"/>
        <w:gridCol w:w="2867"/>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5" w:type="dxa"/>
          </w:tcPr>
          <w:p>
            <w:pPr>
              <w:widowControl/>
              <w:adjustRightInd w:val="0"/>
              <w:snapToGrid w:val="0"/>
              <w:spacing w:line="560" w:lineRule="exact"/>
              <w:rPr>
                <w:rFonts w:ascii="宋体" w:hAnsi="宋体" w:eastAsia="宋体" w:cs="宋体"/>
                <w:b/>
                <w:bCs/>
                <w:sz w:val="24"/>
                <w:szCs w:val="24"/>
              </w:rPr>
            </w:pPr>
            <w:r>
              <w:rPr>
                <w:rFonts w:hint="eastAsia" w:ascii="宋体" w:hAnsi="宋体" w:eastAsia="宋体" w:cs="宋体"/>
                <w:b/>
                <w:bCs/>
                <w:sz w:val="24"/>
                <w:szCs w:val="24"/>
              </w:rPr>
              <w:t>项目</w:t>
            </w:r>
          </w:p>
        </w:tc>
        <w:tc>
          <w:tcPr>
            <w:tcW w:w="2867" w:type="dxa"/>
          </w:tcPr>
          <w:p>
            <w:pPr>
              <w:widowControl/>
              <w:adjustRightInd w:val="0"/>
              <w:snapToGrid w:val="0"/>
              <w:spacing w:line="560" w:lineRule="exact"/>
              <w:rPr>
                <w:rFonts w:hint="eastAsia" w:ascii="宋体" w:hAnsi="宋体" w:eastAsia="宋体" w:cs="宋体"/>
                <w:b/>
                <w:bCs/>
                <w:sz w:val="24"/>
                <w:szCs w:val="24"/>
              </w:rPr>
            </w:pPr>
            <w:r>
              <w:rPr>
                <w:rFonts w:hint="eastAsia" w:ascii="宋体" w:hAnsi="宋体" w:eastAsia="宋体" w:cs="宋体"/>
                <w:b/>
                <w:bCs/>
                <w:sz w:val="24"/>
                <w:szCs w:val="24"/>
              </w:rPr>
              <w:t>2022年3月31日</w:t>
            </w:r>
          </w:p>
          <w:p>
            <w:pPr>
              <w:widowControl/>
              <w:adjustRightInd w:val="0"/>
              <w:snapToGrid w:val="0"/>
              <w:spacing w:line="560" w:lineRule="exact"/>
              <w:rPr>
                <w:rFonts w:ascii="宋体" w:hAnsi="宋体" w:eastAsia="宋体" w:cs="宋体"/>
                <w:b/>
                <w:bCs/>
                <w:sz w:val="24"/>
                <w:szCs w:val="24"/>
              </w:rPr>
            </w:pPr>
            <w:r>
              <w:rPr>
                <w:rFonts w:hint="eastAsia" w:ascii="宋体" w:hAnsi="宋体" w:eastAsia="宋体" w:cs="宋体"/>
                <w:b/>
                <w:bCs/>
                <w:sz w:val="24"/>
                <w:szCs w:val="24"/>
              </w:rPr>
              <w:t>（未经审计）</w:t>
            </w:r>
          </w:p>
        </w:tc>
        <w:tc>
          <w:tcPr>
            <w:tcW w:w="3000" w:type="dxa"/>
          </w:tcPr>
          <w:p>
            <w:pPr>
              <w:widowControl/>
              <w:adjustRightInd w:val="0"/>
              <w:snapToGrid w:val="0"/>
              <w:spacing w:line="560" w:lineRule="exact"/>
              <w:rPr>
                <w:rFonts w:hint="eastAsia" w:ascii="宋体" w:hAnsi="宋体" w:eastAsia="宋体" w:cs="宋体"/>
                <w:b/>
                <w:bCs/>
                <w:sz w:val="24"/>
                <w:szCs w:val="24"/>
              </w:rPr>
            </w:pPr>
            <w:r>
              <w:rPr>
                <w:rFonts w:hint="eastAsia" w:ascii="宋体" w:hAnsi="宋体" w:eastAsia="宋体" w:cs="宋体"/>
                <w:b/>
                <w:bCs/>
                <w:sz w:val="24"/>
                <w:szCs w:val="24"/>
              </w:rPr>
              <w:t>2021年12月31日</w:t>
            </w:r>
          </w:p>
          <w:p>
            <w:pPr>
              <w:widowControl/>
              <w:adjustRightInd w:val="0"/>
              <w:snapToGrid w:val="0"/>
              <w:spacing w:line="560" w:lineRule="exact"/>
              <w:rPr>
                <w:rFonts w:ascii="宋体" w:hAnsi="宋体" w:eastAsia="宋体" w:cs="宋体"/>
                <w:b/>
                <w:bCs/>
                <w:sz w:val="24"/>
                <w:szCs w:val="24"/>
              </w:rPr>
            </w:pPr>
            <w:r>
              <w:rPr>
                <w:rFonts w:hint="eastAsia" w:ascii="宋体" w:hAnsi="宋体" w:eastAsia="宋体" w:cs="宋体"/>
                <w:b/>
                <w:bCs/>
                <w:sz w:val="24"/>
                <w:szCs w:val="24"/>
              </w:rPr>
              <w:t>（经审计）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5" w:type="dxa"/>
          </w:tcPr>
          <w:p>
            <w:pPr>
              <w:widowControl/>
              <w:adjustRightInd w:val="0"/>
              <w:snapToGrid w:val="0"/>
              <w:spacing w:line="560" w:lineRule="exact"/>
              <w:rPr>
                <w:rFonts w:ascii="宋体" w:hAnsi="宋体" w:eastAsia="宋体" w:cs="宋体"/>
                <w:sz w:val="24"/>
                <w:szCs w:val="24"/>
              </w:rPr>
            </w:pPr>
            <w:r>
              <w:rPr>
                <w:rFonts w:hint="eastAsia" w:ascii="宋体" w:hAnsi="宋体" w:eastAsia="宋体" w:cs="宋体"/>
                <w:sz w:val="24"/>
                <w:szCs w:val="24"/>
              </w:rPr>
              <w:t>总资产</w:t>
            </w:r>
          </w:p>
        </w:tc>
        <w:tc>
          <w:tcPr>
            <w:tcW w:w="2867" w:type="dxa"/>
          </w:tcPr>
          <w:p>
            <w:pPr>
              <w:widowControl/>
              <w:adjustRightInd w:val="0"/>
              <w:snapToGrid w:val="0"/>
              <w:spacing w:line="560" w:lineRule="exact"/>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468</w:t>
            </w:r>
            <w:r>
              <w:rPr>
                <w:rFonts w:hint="eastAsia" w:ascii="宋体" w:hAnsi="宋体" w:eastAsia="宋体" w:cs="宋体"/>
                <w:sz w:val="24"/>
                <w:szCs w:val="24"/>
              </w:rPr>
              <w:t>,</w:t>
            </w:r>
            <w:r>
              <w:rPr>
                <w:rFonts w:ascii="宋体" w:hAnsi="宋体" w:eastAsia="宋体" w:cs="宋体"/>
                <w:sz w:val="24"/>
                <w:szCs w:val="24"/>
              </w:rPr>
              <w:t>618.46</w:t>
            </w:r>
          </w:p>
        </w:tc>
        <w:tc>
          <w:tcPr>
            <w:tcW w:w="3000" w:type="dxa"/>
          </w:tcPr>
          <w:p>
            <w:pPr>
              <w:widowControl/>
              <w:adjustRightInd w:val="0"/>
              <w:snapToGrid w:val="0"/>
              <w:spacing w:line="560" w:lineRule="exact"/>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466</w:t>
            </w:r>
            <w:r>
              <w:rPr>
                <w:rFonts w:hint="eastAsia" w:ascii="宋体" w:hAnsi="宋体" w:eastAsia="宋体" w:cs="宋体"/>
                <w:sz w:val="24"/>
                <w:szCs w:val="24"/>
              </w:rPr>
              <w:t>,</w:t>
            </w:r>
            <w:r>
              <w:rPr>
                <w:rFonts w:ascii="宋体" w:hAnsi="宋体" w:eastAsia="宋体" w:cs="宋体"/>
                <w:sz w:val="24"/>
                <w:szCs w:val="24"/>
              </w:rPr>
              <w:t>259.36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5" w:type="dxa"/>
          </w:tcPr>
          <w:p>
            <w:pPr>
              <w:widowControl/>
              <w:adjustRightInd w:val="0"/>
              <w:snapToGrid w:val="0"/>
              <w:spacing w:line="560" w:lineRule="exact"/>
              <w:rPr>
                <w:rFonts w:ascii="宋体" w:hAnsi="宋体" w:eastAsia="宋体" w:cs="宋体"/>
                <w:sz w:val="24"/>
                <w:szCs w:val="24"/>
              </w:rPr>
            </w:pPr>
            <w:r>
              <w:rPr>
                <w:rFonts w:hint="eastAsia" w:ascii="宋体" w:hAnsi="宋体" w:eastAsia="宋体" w:cs="宋体"/>
                <w:sz w:val="24"/>
                <w:szCs w:val="24"/>
              </w:rPr>
              <w:t>净资产</w:t>
            </w:r>
          </w:p>
        </w:tc>
        <w:tc>
          <w:tcPr>
            <w:tcW w:w="2867" w:type="dxa"/>
          </w:tcPr>
          <w:p>
            <w:pPr>
              <w:widowControl/>
              <w:adjustRightInd w:val="0"/>
              <w:snapToGrid w:val="0"/>
              <w:spacing w:line="560" w:lineRule="exact"/>
              <w:rPr>
                <w:rFonts w:ascii="宋体" w:hAnsi="宋体" w:eastAsia="宋体" w:cs="宋体"/>
                <w:sz w:val="24"/>
                <w:szCs w:val="24"/>
              </w:rPr>
            </w:pPr>
            <w:r>
              <w:rPr>
                <w:rFonts w:hint="eastAsia" w:ascii="宋体" w:hAnsi="宋体" w:eastAsia="宋体" w:cs="宋体"/>
                <w:sz w:val="24"/>
                <w:szCs w:val="24"/>
              </w:rPr>
              <w:t>7</w:t>
            </w:r>
            <w:r>
              <w:rPr>
                <w:rFonts w:ascii="宋体" w:hAnsi="宋体" w:eastAsia="宋体" w:cs="宋体"/>
                <w:sz w:val="24"/>
                <w:szCs w:val="24"/>
              </w:rPr>
              <w:t>82</w:t>
            </w:r>
            <w:r>
              <w:rPr>
                <w:rFonts w:hint="eastAsia" w:ascii="宋体" w:hAnsi="宋体" w:eastAsia="宋体" w:cs="宋体"/>
                <w:sz w:val="24"/>
                <w:szCs w:val="24"/>
              </w:rPr>
              <w:t>,</w:t>
            </w:r>
            <w:r>
              <w:rPr>
                <w:rFonts w:ascii="宋体" w:hAnsi="宋体" w:eastAsia="宋体" w:cs="宋体"/>
                <w:sz w:val="24"/>
                <w:szCs w:val="24"/>
              </w:rPr>
              <w:t>107.52</w:t>
            </w:r>
          </w:p>
        </w:tc>
        <w:tc>
          <w:tcPr>
            <w:tcW w:w="3000" w:type="dxa"/>
          </w:tcPr>
          <w:p>
            <w:pPr>
              <w:widowControl/>
              <w:adjustRightInd w:val="0"/>
              <w:snapToGrid w:val="0"/>
              <w:spacing w:line="560" w:lineRule="exact"/>
              <w:rPr>
                <w:rFonts w:ascii="宋体" w:hAnsi="宋体" w:eastAsia="宋体" w:cs="宋体"/>
                <w:sz w:val="24"/>
                <w:szCs w:val="24"/>
              </w:rPr>
            </w:pPr>
            <w:r>
              <w:rPr>
                <w:rFonts w:hint="eastAsia" w:ascii="宋体" w:hAnsi="宋体" w:eastAsia="宋体" w:cs="宋体"/>
                <w:sz w:val="24"/>
                <w:szCs w:val="24"/>
              </w:rPr>
              <w:t>7</w:t>
            </w:r>
            <w:r>
              <w:rPr>
                <w:rFonts w:ascii="宋体" w:hAnsi="宋体" w:eastAsia="宋体" w:cs="宋体"/>
                <w:sz w:val="24"/>
                <w:szCs w:val="24"/>
              </w:rPr>
              <w:t>74</w:t>
            </w:r>
            <w:r>
              <w:rPr>
                <w:rFonts w:hint="eastAsia" w:ascii="宋体" w:hAnsi="宋体" w:eastAsia="宋体" w:cs="宋体"/>
                <w:sz w:val="24"/>
                <w:szCs w:val="24"/>
              </w:rPr>
              <w:t>,</w:t>
            </w:r>
            <w:r>
              <w:rPr>
                <w:rFonts w:ascii="宋体" w:hAnsi="宋体" w:eastAsia="宋体" w:cs="宋体"/>
                <w:sz w:val="24"/>
                <w:szCs w:val="24"/>
              </w:rPr>
              <w:t>954.25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5" w:type="dxa"/>
          </w:tcPr>
          <w:p>
            <w:pPr>
              <w:widowControl/>
              <w:adjustRightInd w:val="0"/>
              <w:snapToGrid w:val="0"/>
              <w:spacing w:line="560" w:lineRule="exact"/>
              <w:rPr>
                <w:rFonts w:ascii="宋体" w:hAnsi="宋体" w:eastAsia="宋体" w:cs="宋体"/>
                <w:b/>
                <w:bCs/>
                <w:sz w:val="24"/>
                <w:szCs w:val="24"/>
              </w:rPr>
            </w:pPr>
            <w:r>
              <w:rPr>
                <w:rFonts w:hint="eastAsia" w:ascii="宋体" w:hAnsi="宋体" w:eastAsia="宋体" w:cs="宋体"/>
                <w:b/>
                <w:bCs/>
                <w:sz w:val="24"/>
                <w:szCs w:val="24"/>
              </w:rPr>
              <w:t>项目</w:t>
            </w:r>
          </w:p>
        </w:tc>
        <w:tc>
          <w:tcPr>
            <w:tcW w:w="2867" w:type="dxa"/>
          </w:tcPr>
          <w:p>
            <w:pPr>
              <w:widowControl/>
              <w:adjustRightInd w:val="0"/>
              <w:snapToGrid w:val="0"/>
              <w:spacing w:line="560" w:lineRule="exact"/>
              <w:rPr>
                <w:rFonts w:hint="eastAsia" w:ascii="宋体" w:hAnsi="宋体" w:eastAsia="宋体" w:cs="宋体"/>
                <w:b/>
                <w:bCs/>
                <w:sz w:val="24"/>
                <w:szCs w:val="24"/>
              </w:rPr>
            </w:pPr>
            <w:r>
              <w:rPr>
                <w:rFonts w:hint="eastAsia" w:ascii="宋体" w:hAnsi="宋体" w:eastAsia="宋体" w:cs="宋体"/>
                <w:b/>
                <w:bCs/>
                <w:sz w:val="24"/>
                <w:szCs w:val="24"/>
              </w:rPr>
              <w:t>2022年1-3月</w:t>
            </w:r>
          </w:p>
          <w:p>
            <w:pPr>
              <w:widowControl/>
              <w:adjustRightInd w:val="0"/>
              <w:snapToGrid w:val="0"/>
              <w:spacing w:line="560" w:lineRule="exact"/>
              <w:rPr>
                <w:rFonts w:ascii="宋体" w:hAnsi="宋体" w:eastAsia="宋体" w:cs="宋体"/>
                <w:b/>
                <w:bCs/>
                <w:sz w:val="24"/>
                <w:szCs w:val="24"/>
              </w:rPr>
            </w:pPr>
            <w:r>
              <w:rPr>
                <w:rFonts w:hint="eastAsia" w:ascii="宋体" w:hAnsi="宋体" w:eastAsia="宋体" w:cs="宋体"/>
                <w:b/>
                <w:bCs/>
                <w:sz w:val="24"/>
                <w:szCs w:val="24"/>
              </w:rPr>
              <w:t>（未经审计）</w:t>
            </w:r>
          </w:p>
        </w:tc>
        <w:tc>
          <w:tcPr>
            <w:tcW w:w="3000" w:type="dxa"/>
          </w:tcPr>
          <w:p>
            <w:pPr>
              <w:widowControl/>
              <w:adjustRightInd w:val="0"/>
              <w:snapToGrid w:val="0"/>
              <w:spacing w:line="560" w:lineRule="exact"/>
              <w:rPr>
                <w:rFonts w:hint="eastAsia" w:ascii="宋体" w:hAnsi="宋体" w:eastAsia="宋体" w:cs="宋体"/>
                <w:b/>
                <w:bCs/>
                <w:sz w:val="24"/>
                <w:szCs w:val="24"/>
              </w:rPr>
            </w:pPr>
            <w:r>
              <w:rPr>
                <w:rFonts w:hint="eastAsia" w:ascii="宋体" w:hAnsi="宋体" w:eastAsia="宋体" w:cs="宋体"/>
                <w:b/>
                <w:bCs/>
                <w:sz w:val="24"/>
                <w:szCs w:val="24"/>
              </w:rPr>
              <w:t>2021年度</w:t>
            </w:r>
          </w:p>
          <w:p>
            <w:pPr>
              <w:widowControl/>
              <w:adjustRightInd w:val="0"/>
              <w:snapToGrid w:val="0"/>
              <w:spacing w:line="560" w:lineRule="exact"/>
              <w:rPr>
                <w:rFonts w:ascii="宋体" w:hAnsi="宋体" w:eastAsia="宋体" w:cs="宋体"/>
                <w:b/>
                <w:bCs/>
                <w:sz w:val="24"/>
                <w:szCs w:val="24"/>
              </w:rPr>
            </w:pPr>
            <w:r>
              <w:rPr>
                <w:rFonts w:hint="eastAsia" w:ascii="宋体" w:hAnsi="宋体" w:eastAsia="宋体" w:cs="宋体"/>
                <w:b/>
                <w:bCs/>
                <w:sz w:val="24"/>
                <w:szCs w:val="24"/>
              </w:rPr>
              <w:t>（经审计）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5" w:type="dxa"/>
          </w:tcPr>
          <w:p>
            <w:pPr>
              <w:widowControl/>
              <w:adjustRightInd w:val="0"/>
              <w:snapToGrid w:val="0"/>
              <w:spacing w:line="560" w:lineRule="exact"/>
              <w:rPr>
                <w:rFonts w:ascii="宋体" w:hAnsi="宋体" w:eastAsia="宋体" w:cs="宋体"/>
                <w:sz w:val="24"/>
                <w:szCs w:val="24"/>
              </w:rPr>
            </w:pPr>
            <w:r>
              <w:rPr>
                <w:rFonts w:hint="eastAsia" w:ascii="宋体" w:hAnsi="宋体" w:eastAsia="宋体" w:cs="宋体"/>
                <w:sz w:val="24"/>
                <w:szCs w:val="24"/>
              </w:rPr>
              <w:t>营业收入</w:t>
            </w:r>
          </w:p>
        </w:tc>
        <w:tc>
          <w:tcPr>
            <w:tcW w:w="2867" w:type="dxa"/>
          </w:tcPr>
          <w:p>
            <w:pPr>
              <w:widowControl/>
              <w:adjustRightInd w:val="0"/>
              <w:snapToGrid w:val="0"/>
              <w:spacing w:line="560" w:lineRule="exact"/>
              <w:rPr>
                <w:rFonts w:ascii="宋体" w:hAnsi="宋体" w:eastAsia="宋体" w:cs="宋体"/>
                <w:sz w:val="24"/>
                <w:szCs w:val="24"/>
              </w:rPr>
            </w:pPr>
            <w:r>
              <w:rPr>
                <w:rFonts w:hint="eastAsia" w:ascii="宋体" w:hAnsi="宋体" w:eastAsia="宋体" w:cs="宋体"/>
                <w:sz w:val="24"/>
                <w:szCs w:val="24"/>
              </w:rPr>
              <w:t>3</w:t>
            </w:r>
            <w:r>
              <w:rPr>
                <w:rFonts w:ascii="宋体" w:hAnsi="宋体" w:eastAsia="宋体" w:cs="宋体"/>
                <w:sz w:val="24"/>
                <w:szCs w:val="24"/>
              </w:rPr>
              <w:t>3</w:t>
            </w:r>
            <w:r>
              <w:rPr>
                <w:rFonts w:hint="eastAsia" w:ascii="宋体" w:hAnsi="宋体" w:eastAsia="宋体" w:cs="宋体"/>
                <w:sz w:val="24"/>
                <w:szCs w:val="24"/>
              </w:rPr>
              <w:t>,</w:t>
            </w:r>
            <w:r>
              <w:rPr>
                <w:rFonts w:ascii="宋体" w:hAnsi="宋体" w:eastAsia="宋体" w:cs="宋体"/>
                <w:sz w:val="24"/>
                <w:szCs w:val="24"/>
              </w:rPr>
              <w:t>512.16</w:t>
            </w:r>
          </w:p>
        </w:tc>
        <w:tc>
          <w:tcPr>
            <w:tcW w:w="3000" w:type="dxa"/>
          </w:tcPr>
          <w:p>
            <w:pPr>
              <w:widowControl/>
              <w:adjustRightInd w:val="0"/>
              <w:snapToGrid w:val="0"/>
              <w:spacing w:line="560" w:lineRule="exact"/>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71</w:t>
            </w:r>
            <w:r>
              <w:rPr>
                <w:rFonts w:hint="eastAsia" w:ascii="宋体" w:hAnsi="宋体" w:eastAsia="宋体" w:cs="宋体"/>
                <w:sz w:val="24"/>
                <w:szCs w:val="24"/>
              </w:rPr>
              <w:t>,</w:t>
            </w:r>
            <w:r>
              <w:rPr>
                <w:rFonts w:ascii="宋体" w:hAnsi="宋体" w:eastAsia="宋体" w:cs="宋体"/>
                <w:sz w:val="24"/>
                <w:szCs w:val="24"/>
              </w:rPr>
              <w:t>546.18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5" w:type="dxa"/>
          </w:tcPr>
          <w:p>
            <w:pPr>
              <w:widowControl/>
              <w:adjustRightInd w:val="0"/>
              <w:snapToGrid w:val="0"/>
              <w:spacing w:line="560" w:lineRule="exact"/>
              <w:rPr>
                <w:rFonts w:ascii="宋体" w:hAnsi="宋体" w:eastAsia="宋体" w:cs="宋体"/>
                <w:sz w:val="24"/>
                <w:szCs w:val="24"/>
              </w:rPr>
            </w:pPr>
            <w:r>
              <w:rPr>
                <w:rFonts w:hint="eastAsia" w:ascii="宋体" w:hAnsi="宋体" w:eastAsia="宋体" w:cs="宋体"/>
                <w:sz w:val="24"/>
                <w:szCs w:val="24"/>
              </w:rPr>
              <w:t>其中：通行费收入</w:t>
            </w:r>
          </w:p>
        </w:tc>
        <w:tc>
          <w:tcPr>
            <w:tcW w:w="2867" w:type="dxa"/>
          </w:tcPr>
          <w:p>
            <w:pPr>
              <w:widowControl/>
              <w:adjustRightInd w:val="0"/>
              <w:snapToGrid w:val="0"/>
              <w:spacing w:line="560" w:lineRule="exact"/>
              <w:rPr>
                <w:rFonts w:ascii="宋体" w:hAnsi="宋体" w:eastAsia="宋体" w:cs="宋体"/>
                <w:sz w:val="24"/>
                <w:szCs w:val="24"/>
              </w:rPr>
            </w:pPr>
            <w:r>
              <w:rPr>
                <w:rFonts w:hint="eastAsia" w:ascii="宋体" w:hAnsi="宋体" w:eastAsia="宋体" w:cs="宋体"/>
                <w:sz w:val="24"/>
                <w:szCs w:val="24"/>
              </w:rPr>
              <w:t>3</w:t>
            </w:r>
            <w:r>
              <w:rPr>
                <w:rFonts w:ascii="宋体" w:hAnsi="宋体" w:eastAsia="宋体" w:cs="宋体"/>
                <w:sz w:val="24"/>
                <w:szCs w:val="24"/>
              </w:rPr>
              <w:t>3</w:t>
            </w:r>
            <w:r>
              <w:rPr>
                <w:rFonts w:hint="eastAsia" w:ascii="宋体" w:hAnsi="宋体" w:eastAsia="宋体" w:cs="宋体"/>
                <w:sz w:val="24"/>
                <w:szCs w:val="24"/>
              </w:rPr>
              <w:t>,</w:t>
            </w:r>
            <w:r>
              <w:rPr>
                <w:rFonts w:ascii="宋体" w:hAnsi="宋体" w:eastAsia="宋体" w:cs="宋体"/>
                <w:sz w:val="24"/>
                <w:szCs w:val="24"/>
              </w:rPr>
              <w:t>056.35</w:t>
            </w:r>
          </w:p>
        </w:tc>
        <w:tc>
          <w:tcPr>
            <w:tcW w:w="3000" w:type="dxa"/>
          </w:tcPr>
          <w:p>
            <w:pPr>
              <w:widowControl/>
              <w:adjustRightInd w:val="0"/>
              <w:snapToGrid w:val="0"/>
              <w:spacing w:line="560" w:lineRule="exact"/>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55</w:t>
            </w:r>
            <w:r>
              <w:rPr>
                <w:rFonts w:hint="eastAsia" w:ascii="宋体" w:hAnsi="宋体" w:eastAsia="宋体" w:cs="宋体"/>
                <w:sz w:val="24"/>
                <w:szCs w:val="24"/>
              </w:rPr>
              <w:t>,</w:t>
            </w:r>
            <w:r>
              <w:rPr>
                <w:rFonts w:ascii="宋体" w:hAnsi="宋体" w:eastAsia="宋体" w:cs="宋体"/>
                <w:sz w:val="24"/>
                <w:szCs w:val="24"/>
              </w:rPr>
              <w:t>174.34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5" w:type="dxa"/>
          </w:tcPr>
          <w:p>
            <w:pPr>
              <w:widowControl/>
              <w:adjustRightInd w:val="0"/>
              <w:snapToGrid w:val="0"/>
              <w:spacing w:line="560" w:lineRule="exact"/>
              <w:rPr>
                <w:rFonts w:ascii="宋体" w:hAnsi="宋体" w:eastAsia="宋体" w:cs="宋体"/>
                <w:sz w:val="24"/>
                <w:szCs w:val="24"/>
              </w:rPr>
            </w:pPr>
            <w:r>
              <w:rPr>
                <w:rFonts w:hint="eastAsia" w:ascii="宋体" w:hAnsi="宋体" w:eastAsia="宋体" w:cs="宋体"/>
                <w:sz w:val="24"/>
                <w:szCs w:val="24"/>
              </w:rPr>
              <w:t>净利润</w:t>
            </w:r>
          </w:p>
        </w:tc>
        <w:tc>
          <w:tcPr>
            <w:tcW w:w="2867" w:type="dxa"/>
          </w:tcPr>
          <w:p>
            <w:pPr>
              <w:widowControl/>
              <w:adjustRightInd w:val="0"/>
              <w:snapToGrid w:val="0"/>
              <w:spacing w:line="560" w:lineRule="exact"/>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1</w:t>
            </w:r>
            <w:r>
              <w:rPr>
                <w:rFonts w:hint="eastAsia" w:ascii="宋体" w:hAnsi="宋体" w:eastAsia="宋体" w:cs="宋体"/>
                <w:sz w:val="24"/>
                <w:szCs w:val="24"/>
              </w:rPr>
              <w:t>,</w:t>
            </w:r>
            <w:r>
              <w:rPr>
                <w:rFonts w:ascii="宋体" w:hAnsi="宋体" w:eastAsia="宋体" w:cs="宋体"/>
                <w:sz w:val="24"/>
                <w:szCs w:val="24"/>
              </w:rPr>
              <w:t>189.77</w:t>
            </w:r>
          </w:p>
        </w:tc>
        <w:tc>
          <w:tcPr>
            <w:tcW w:w="3000" w:type="dxa"/>
          </w:tcPr>
          <w:p>
            <w:pPr>
              <w:widowControl/>
              <w:adjustRightInd w:val="0"/>
              <w:snapToGrid w:val="0"/>
              <w:spacing w:line="560" w:lineRule="exact"/>
              <w:rPr>
                <w:rFonts w:ascii="宋体" w:hAnsi="宋体" w:eastAsia="宋体" w:cs="宋体"/>
                <w:sz w:val="24"/>
                <w:szCs w:val="24"/>
              </w:rPr>
            </w:pPr>
            <w:r>
              <w:rPr>
                <w:rFonts w:hint="eastAsia" w:ascii="宋体" w:hAnsi="宋体" w:eastAsia="宋体" w:cs="宋体"/>
                <w:sz w:val="24"/>
                <w:szCs w:val="24"/>
              </w:rPr>
              <w:t>5</w:t>
            </w:r>
            <w:r>
              <w:rPr>
                <w:rFonts w:ascii="宋体" w:hAnsi="宋体" w:eastAsia="宋体" w:cs="宋体"/>
                <w:sz w:val="24"/>
                <w:szCs w:val="24"/>
              </w:rPr>
              <w:t>5</w:t>
            </w:r>
            <w:r>
              <w:rPr>
                <w:rFonts w:hint="eastAsia" w:ascii="宋体" w:hAnsi="宋体" w:eastAsia="宋体" w:cs="宋体"/>
                <w:sz w:val="24"/>
                <w:szCs w:val="24"/>
              </w:rPr>
              <w:t>,</w:t>
            </w:r>
            <w:r>
              <w:rPr>
                <w:rFonts w:ascii="宋体" w:hAnsi="宋体" w:eastAsia="宋体" w:cs="宋体"/>
                <w:sz w:val="24"/>
                <w:szCs w:val="24"/>
              </w:rPr>
              <w:t>780.18</w:t>
            </w:r>
          </w:p>
        </w:tc>
      </w:tr>
    </w:tbl>
    <w:p>
      <w:pPr>
        <w:pStyle w:val="11"/>
        <w:widowControl w:val="0"/>
        <w:tabs>
          <w:tab w:val="left" w:pos="1080"/>
        </w:tabs>
        <w:adjustRightInd w:val="0"/>
        <w:spacing w:before="0" w:beforeAutospacing="0" w:after="0" w:afterAutospacing="0" w:line="360" w:lineRule="auto"/>
        <w:ind w:firstLine="480" w:firstLineChars="200"/>
        <w:jc w:val="both"/>
      </w:pPr>
      <w:r>
        <w:rPr>
          <w:rFonts w:hint="eastAsia"/>
        </w:rPr>
        <w:t>广靖锡澄公司2021年度财务报表经毕马威华振会计师事务所（特殊普通合伙）审计，毕马威华振会计师事务所（特殊普通合伙）是一家符合《证券法》要求的审计机构。</w:t>
      </w:r>
    </w:p>
    <w:p>
      <w:pPr>
        <w:autoSpaceDE w:val="0"/>
        <w:autoSpaceDN w:val="0"/>
        <w:adjustRightInd w:val="0"/>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三、投资标的基本情况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锡宜高速公路全长69.3公里，连接无锡和宜兴，是江苏省高速公路网布局规划中的“横九”太仓至高淳高速通道的重要组成部分，双向四车道，主要以服务无锡、宜兴、常州等城市的社会经济联系为主。随着常宜高速公路一期、宜长高速公路、五峰山过江通道及苏锡常南部高速公路的通车，区域路网格局将有较大调整，锡宜高速公路南段的双向四车道技术标准将成为路网上的瓶颈路段，亟待扩容改造。</w:t>
      </w:r>
    </w:p>
    <w:p>
      <w:pPr>
        <w:widowControl/>
        <w:adjustRightIn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本次锡宜高速公路南段扩建项目工程范围起于与苏锡常南部高速公路交叉的雪堰枢纽北侧，经常州市武进区，宜兴市，止于与宁杭高速公路交叉的西坞枢纽，路线全长35.735公里。项</w:t>
      </w:r>
      <w:bookmarkStart w:id="0" w:name="_GoBack"/>
      <w:bookmarkEnd w:id="0"/>
      <w:r>
        <w:rPr>
          <w:rFonts w:hint="eastAsia" w:ascii="宋体" w:hAnsi="宋体" w:cs="宋体"/>
          <w:color w:val="000000"/>
          <w:sz w:val="24"/>
          <w:szCs w:val="24"/>
        </w:rPr>
        <w:t>目拟采用“双侧拓宽为主、局部路段分离加宽”的总体扩建方案，项目全线按双向八车道高速公路标准扩建，设计时速120公里/小时，路基宽度为42米。锡宜高速公路南段扩建项目初步设计概算为人民币77.5491亿元，项目计划于2023年1月开始建设，2026年6月底建成通车，总建设工期约为3.5年。目前该项目工可及初步设计均已获得江苏省发展和改革委员会批复。</w:t>
      </w:r>
    </w:p>
    <w:p>
      <w:pPr>
        <w:widowControl/>
        <w:adjustRightIn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本项目全部资金由控股子公司广靖锡澄公司负责筹措，其中资本金约为人民币31.0196亿元，由控股子公司广靖锡澄公司自有资金投资，占总投资的40%。资本金以外部分通过国内银行贷款和地方出资共同筹措：宜兴市人民政府出资人民币 0.52 亿元，其余部分通过国内银行贷款方式筹集。</w:t>
      </w:r>
    </w:p>
    <w:p>
      <w:pPr>
        <w:autoSpaceDE w:val="0"/>
        <w:autoSpaceDN w:val="0"/>
        <w:adjustRightInd w:val="0"/>
        <w:spacing w:line="360" w:lineRule="auto"/>
        <w:ind w:firstLine="482" w:firstLineChars="200"/>
        <w:rPr>
          <w:rFonts w:cs="宋体" w:asciiTheme="minorEastAsia" w:hAnsiTheme="minorEastAsia"/>
          <w:b/>
          <w:sz w:val="24"/>
          <w:szCs w:val="24"/>
        </w:rPr>
      </w:pPr>
      <w:r>
        <w:rPr>
          <w:rFonts w:hint="eastAsia" w:cs="宋体" w:asciiTheme="minorEastAsia" w:hAnsiTheme="minorEastAsia"/>
          <w:b/>
          <w:sz w:val="24"/>
          <w:szCs w:val="24"/>
        </w:rPr>
        <w:t>四、对外投资对上市公司的影响</w:t>
      </w:r>
    </w:p>
    <w:p>
      <w:pPr>
        <w:pStyle w:val="11"/>
        <w:widowControl w:val="0"/>
        <w:tabs>
          <w:tab w:val="left" w:pos="1260"/>
        </w:tabs>
        <w:adjustRightInd w:val="0"/>
        <w:spacing w:before="0" w:beforeAutospacing="0" w:after="0" w:afterAutospacing="0" w:line="360" w:lineRule="auto"/>
        <w:ind w:firstLine="480" w:firstLineChars="200"/>
        <w:jc w:val="both"/>
        <w:rPr>
          <w:rFonts w:asciiTheme="minorEastAsia" w:hAnsiTheme="minorEastAsia" w:eastAsiaTheme="minorEastAsia"/>
          <w:color w:val="000000"/>
        </w:rPr>
      </w:pPr>
      <w:r>
        <w:rPr>
          <w:rFonts w:hint="eastAsia"/>
          <w:color w:val="000000"/>
        </w:rPr>
        <w:t>锡宜高速公路是本公司优质的路产资源，是控股子公司广靖锡澄公司核心资产之一，实施本次改扩建能够极大地提高其通行能力和服务水平，缓解该段高速的交通压力，提高车主用户的通行体验，对本公司未来经营业绩和长期发展有积极作用，具有显著的社会效益和经济效益。</w:t>
      </w:r>
    </w:p>
    <w:p>
      <w:pPr>
        <w:pStyle w:val="11"/>
        <w:widowControl w:val="0"/>
        <w:tabs>
          <w:tab w:val="left" w:pos="1260"/>
        </w:tabs>
        <w:adjustRightInd w:val="0"/>
        <w:spacing w:before="0" w:beforeAutospacing="0" w:after="0" w:afterAutospacing="0" w:line="360" w:lineRule="auto"/>
        <w:ind w:firstLine="480" w:firstLineChars="200"/>
        <w:jc w:val="both"/>
        <w:rPr>
          <w:rFonts w:ascii="Arial" w:hAnsi="Arial" w:cs="Arial"/>
          <w:sz w:val="30"/>
          <w:szCs w:val="30"/>
          <w:shd w:val="clear" w:color="auto" w:fill="FFFFFF"/>
        </w:rPr>
      </w:pPr>
      <w:r>
        <w:rPr>
          <w:rFonts w:hint="eastAsia"/>
          <w:color w:val="000000"/>
        </w:rPr>
        <w:t>投资本项目可以增强本公司长期盈利能力，提高核心竞争力，促进本公司的长期可持续发展，为股东创造更大价值。</w:t>
      </w:r>
    </w:p>
    <w:p>
      <w:pPr>
        <w:autoSpaceDE w:val="0"/>
        <w:autoSpaceDN w:val="0"/>
        <w:adjustRightInd w:val="0"/>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五、对外投资的风险分析</w:t>
      </w:r>
    </w:p>
    <w:p>
      <w:pPr>
        <w:pStyle w:val="11"/>
        <w:widowControl w:val="0"/>
        <w:tabs>
          <w:tab w:val="left" w:pos="1260"/>
        </w:tabs>
        <w:adjustRightInd w:val="0"/>
        <w:spacing w:before="0" w:beforeAutospacing="0" w:after="0" w:afterAutospacing="0" w:line="360" w:lineRule="auto"/>
        <w:ind w:firstLine="480" w:firstLineChars="200"/>
        <w:jc w:val="both"/>
        <w:rPr>
          <w:color w:val="000000"/>
        </w:rPr>
      </w:pPr>
      <w:r>
        <w:rPr>
          <w:rFonts w:hint="eastAsia"/>
          <w:color w:val="000000"/>
        </w:rPr>
        <w:t>（一）政策风险</w:t>
      </w:r>
    </w:p>
    <w:p>
      <w:pPr>
        <w:pStyle w:val="11"/>
        <w:widowControl w:val="0"/>
        <w:tabs>
          <w:tab w:val="left" w:pos="1260"/>
        </w:tabs>
        <w:adjustRightInd w:val="0"/>
        <w:spacing w:before="0" w:beforeAutospacing="0" w:after="0" w:afterAutospacing="0" w:line="360" w:lineRule="auto"/>
        <w:ind w:firstLine="480" w:firstLineChars="200"/>
        <w:jc w:val="both"/>
        <w:rPr>
          <w:color w:val="000000"/>
        </w:rPr>
      </w:pPr>
      <w:r>
        <w:rPr>
          <w:rFonts w:hint="eastAsia"/>
          <w:color w:val="000000"/>
        </w:rPr>
        <w:t>由于项目运营期限长，运营期内收费公路政策可能会发生变化，未来项目（收费期限及收费标准）营运情况存在不确定性。</w:t>
      </w:r>
    </w:p>
    <w:p>
      <w:pPr>
        <w:pStyle w:val="11"/>
        <w:widowControl w:val="0"/>
        <w:tabs>
          <w:tab w:val="left" w:pos="1260"/>
        </w:tabs>
        <w:adjustRightInd w:val="0"/>
        <w:spacing w:before="0" w:beforeAutospacing="0" w:after="0" w:afterAutospacing="0" w:line="360" w:lineRule="auto"/>
        <w:ind w:firstLine="480" w:firstLineChars="200"/>
        <w:jc w:val="both"/>
        <w:rPr>
          <w:color w:val="000000"/>
        </w:rPr>
      </w:pPr>
      <w:r>
        <w:rPr>
          <w:rFonts w:hint="eastAsia"/>
          <w:color w:val="000000"/>
        </w:rPr>
        <w:t>应对措施：本公司将加强政策研究、跟踪政策变化并积极做出应对，加强沟通，积极推动向政府有权部门申请重新核定该段高速收费期限的相关工作。</w:t>
      </w:r>
    </w:p>
    <w:p>
      <w:pPr>
        <w:pStyle w:val="11"/>
        <w:widowControl w:val="0"/>
        <w:tabs>
          <w:tab w:val="left" w:pos="1260"/>
        </w:tabs>
        <w:adjustRightInd w:val="0"/>
        <w:spacing w:before="0" w:beforeAutospacing="0" w:after="0" w:afterAutospacing="0" w:line="360" w:lineRule="auto"/>
        <w:ind w:firstLine="480" w:firstLineChars="200"/>
        <w:jc w:val="both"/>
        <w:rPr>
          <w:color w:val="000000"/>
        </w:rPr>
      </w:pPr>
      <w:r>
        <w:rPr>
          <w:rFonts w:hint="eastAsia"/>
          <w:color w:val="000000"/>
        </w:rPr>
        <w:t xml:space="preserve">（二）建造风险 </w:t>
      </w:r>
    </w:p>
    <w:p>
      <w:pPr>
        <w:pStyle w:val="11"/>
        <w:widowControl w:val="0"/>
        <w:tabs>
          <w:tab w:val="left" w:pos="1260"/>
        </w:tabs>
        <w:adjustRightInd w:val="0"/>
        <w:spacing w:before="0" w:beforeAutospacing="0" w:after="0" w:afterAutospacing="0" w:line="360" w:lineRule="auto"/>
        <w:ind w:firstLine="480" w:firstLineChars="200"/>
        <w:jc w:val="both"/>
        <w:rPr>
          <w:color w:val="000000"/>
        </w:rPr>
      </w:pPr>
      <w:r>
        <w:rPr>
          <w:rFonts w:hint="eastAsia"/>
          <w:color w:val="000000"/>
        </w:rPr>
        <w:t>本项目扩建工程涉及征地、广告设施、征地拆迁以及工程设计、施工、竣工决算等诸多方面，任何方面出现偏差都可能导致项目工程规模变化、延迟完工，再加上通货膨胀、利率变化、材料设备涨价、工程施工管理等一系列不可控因素可能增加扩建项目总投资的风险。</w:t>
      </w:r>
    </w:p>
    <w:p>
      <w:pPr>
        <w:pStyle w:val="11"/>
        <w:widowControl w:val="0"/>
        <w:tabs>
          <w:tab w:val="left" w:pos="1260"/>
        </w:tabs>
        <w:adjustRightInd w:val="0"/>
        <w:spacing w:before="0" w:beforeAutospacing="0" w:after="0" w:afterAutospacing="0" w:line="360" w:lineRule="auto"/>
        <w:ind w:firstLine="480" w:firstLineChars="200"/>
        <w:jc w:val="both"/>
        <w:rPr>
          <w:color w:val="000000"/>
        </w:rPr>
      </w:pPr>
      <w:r>
        <w:rPr>
          <w:rFonts w:hint="eastAsia"/>
          <w:color w:val="000000"/>
        </w:rPr>
        <w:t>应对措施：优化设计、施工方案，尽量减少占地、拆迁及建设体量；合法、合规地组织招标工作并签署严格的施工合同；加强施工现场管理,控制材料成本；严格执行审计检查制度，合理计费，做好竣工结算。</w:t>
      </w:r>
    </w:p>
    <w:p>
      <w:pPr>
        <w:pStyle w:val="11"/>
        <w:widowControl w:val="0"/>
        <w:tabs>
          <w:tab w:val="left" w:pos="1260"/>
        </w:tabs>
        <w:adjustRightInd w:val="0"/>
        <w:spacing w:before="0" w:beforeAutospacing="0" w:after="0" w:afterAutospacing="0" w:line="360" w:lineRule="auto"/>
        <w:ind w:firstLine="480" w:firstLineChars="200"/>
        <w:jc w:val="both"/>
        <w:rPr>
          <w:bCs/>
          <w:color w:val="000000"/>
        </w:rPr>
      </w:pPr>
      <w:r>
        <w:rPr>
          <w:rFonts w:hint="eastAsia"/>
          <w:bCs/>
          <w:color w:val="000000"/>
        </w:rPr>
        <w:t>（三）经营风险</w:t>
      </w:r>
    </w:p>
    <w:p>
      <w:pPr>
        <w:pStyle w:val="11"/>
        <w:widowControl w:val="0"/>
        <w:tabs>
          <w:tab w:val="left" w:pos="1260"/>
        </w:tabs>
        <w:adjustRightInd w:val="0"/>
        <w:spacing w:before="0" w:beforeAutospacing="0" w:after="0" w:afterAutospacing="0" w:line="360" w:lineRule="auto"/>
        <w:ind w:firstLine="480" w:firstLineChars="200"/>
        <w:jc w:val="both"/>
        <w:rPr>
          <w:color w:val="000000"/>
        </w:rPr>
      </w:pPr>
      <w:r>
        <w:rPr>
          <w:rFonts w:hint="eastAsia"/>
          <w:color w:val="000000"/>
        </w:rPr>
        <w:t>本项目交通量和通行费收入受区域经济发展、综合交通发展、路网变化等影响较大，可能使预测准确性降低，实际收入达不到预期。因锡宜高速公路南段为江苏省南北大通道重要组成部分，区位优势较好，交通量和通行费增长潜力较大，且在预测交通量时已充分考虑了未来区域经济、交通规划及路网变化情况，亦考虑了相关路段和其他交通方式的分流影响，因此项目经营风险相对较小。</w:t>
      </w:r>
    </w:p>
    <w:p>
      <w:pPr>
        <w:pStyle w:val="11"/>
        <w:widowControl w:val="0"/>
        <w:tabs>
          <w:tab w:val="left" w:pos="1260"/>
        </w:tabs>
        <w:adjustRightInd w:val="0"/>
        <w:spacing w:before="0" w:beforeAutospacing="0" w:after="0" w:afterAutospacing="0" w:line="360" w:lineRule="auto"/>
        <w:ind w:firstLine="480" w:firstLineChars="200"/>
        <w:jc w:val="both"/>
        <w:rPr>
          <w:color w:val="000000"/>
        </w:rPr>
      </w:pPr>
      <w:r>
        <w:rPr>
          <w:rFonts w:hint="eastAsia"/>
          <w:color w:val="000000"/>
        </w:rPr>
        <w:t xml:space="preserve">应对措施：项目通车后规范运营管理，保证路面路况良好和畅通，为社会公众提供更优质的服务，吸引车流量；推广ETC，减少人工成本；加强对服务区及广告设施的推广宣传，提高其他业务收入。 </w:t>
      </w:r>
    </w:p>
    <w:p>
      <w:pPr>
        <w:pStyle w:val="11"/>
        <w:widowControl w:val="0"/>
        <w:tabs>
          <w:tab w:val="left" w:pos="1260"/>
        </w:tabs>
        <w:adjustRightInd w:val="0"/>
        <w:spacing w:before="0" w:beforeAutospacing="0" w:after="0" w:afterAutospacing="0" w:line="360" w:lineRule="auto"/>
        <w:ind w:firstLine="480" w:firstLineChars="200"/>
        <w:jc w:val="both"/>
        <w:rPr>
          <w:bCs/>
          <w:color w:val="000000"/>
        </w:rPr>
      </w:pPr>
      <w:r>
        <w:rPr>
          <w:rFonts w:hint="eastAsia"/>
          <w:bCs/>
          <w:color w:val="000000"/>
        </w:rPr>
        <w:t>（四）利率风险</w:t>
      </w:r>
    </w:p>
    <w:p>
      <w:pPr>
        <w:pStyle w:val="11"/>
        <w:widowControl w:val="0"/>
        <w:tabs>
          <w:tab w:val="left" w:pos="1260"/>
        </w:tabs>
        <w:adjustRightInd w:val="0"/>
        <w:spacing w:before="0" w:beforeAutospacing="0" w:after="0" w:afterAutospacing="0" w:line="360" w:lineRule="auto"/>
        <w:ind w:firstLine="480" w:firstLineChars="200"/>
        <w:jc w:val="both"/>
        <w:rPr>
          <w:color w:val="000000"/>
        </w:rPr>
      </w:pPr>
      <w:r>
        <w:rPr>
          <w:rFonts w:hint="eastAsia"/>
          <w:color w:val="000000"/>
        </w:rPr>
        <w:t>项目投入金额较大，债务性融资额占一定比例，市场利率变化将影响到资金使用的成本进而影响到项目的收益。</w:t>
      </w:r>
    </w:p>
    <w:p>
      <w:pPr>
        <w:pStyle w:val="11"/>
        <w:widowControl w:val="0"/>
        <w:tabs>
          <w:tab w:val="left" w:pos="1260"/>
        </w:tabs>
        <w:adjustRightInd w:val="0"/>
        <w:spacing w:before="0" w:beforeAutospacing="0" w:after="0" w:afterAutospacing="0" w:line="360" w:lineRule="auto"/>
        <w:ind w:firstLine="480" w:firstLineChars="200"/>
        <w:jc w:val="both"/>
        <w:rPr>
          <w:color w:val="000000"/>
        </w:rPr>
      </w:pPr>
      <w:r>
        <w:rPr>
          <w:rFonts w:hint="eastAsia"/>
          <w:color w:val="000000"/>
        </w:rPr>
        <w:t>应对措施：多渠道筹集资金，尽量使用低成本融资，在可能的情况下搭配一定比例的固定利率融资。</w:t>
      </w:r>
    </w:p>
    <w:p>
      <w:pPr>
        <w:tabs>
          <w:tab w:val="left" w:pos="540"/>
          <w:tab w:val="left" w:pos="900"/>
        </w:tabs>
        <w:adjustRightInd w:val="0"/>
        <w:spacing w:line="360" w:lineRule="auto"/>
        <w:ind w:firstLine="602" w:firstLineChars="200"/>
        <w:rPr>
          <w:rFonts w:ascii="宋体" w:hAnsi="宋体" w:eastAsia="宋体" w:cs="宋体"/>
          <w:bCs/>
          <w:sz w:val="30"/>
          <w:szCs w:val="30"/>
        </w:rPr>
      </w:pPr>
      <w:r>
        <w:rPr>
          <w:rFonts w:hint="eastAsia" w:ascii="宋体" w:hAnsi="宋体" w:eastAsia="宋体" w:cs="宋体"/>
          <w:b/>
          <w:sz w:val="30"/>
          <w:szCs w:val="30"/>
        </w:rPr>
        <w:t xml:space="preserve"> </w:t>
      </w:r>
    </w:p>
    <w:p>
      <w:pPr>
        <w:widowControl/>
        <w:adjustRightInd w:val="0"/>
        <w:snapToGrid w:val="0"/>
        <w:spacing w:before="156" w:beforeLines="50" w:after="156" w:afterLines="50" w:line="360" w:lineRule="auto"/>
        <w:ind w:firstLine="482"/>
        <w:jc w:val="left"/>
        <w:rPr>
          <w:rFonts w:ascii="宋体" w:hAnsi="宋体" w:eastAsia="宋体" w:cs="宋体"/>
          <w:b/>
          <w:bCs/>
          <w:kern w:val="0"/>
          <w:sz w:val="24"/>
          <w:szCs w:val="24"/>
          <w:lang w:val="ru-RU"/>
        </w:rPr>
      </w:pPr>
      <w:r>
        <w:rPr>
          <w:rFonts w:hint="eastAsia" w:ascii="宋体" w:hAnsi="宋体" w:eastAsia="宋体" w:cs="宋体"/>
          <w:b/>
          <w:bCs/>
          <w:kern w:val="0"/>
          <w:sz w:val="24"/>
          <w:szCs w:val="24"/>
          <w:lang w:val="ru-RU"/>
        </w:rPr>
        <w:t>特此公告。</w:t>
      </w:r>
    </w:p>
    <w:p>
      <w:pPr>
        <w:widowControl/>
        <w:adjustRightInd w:val="0"/>
        <w:snapToGrid w:val="0"/>
        <w:spacing w:before="156" w:beforeLines="50" w:after="156" w:afterLines="50" w:line="360" w:lineRule="auto"/>
        <w:ind w:firstLine="482"/>
        <w:jc w:val="left"/>
        <w:rPr>
          <w:rFonts w:ascii="宋体" w:hAnsi="宋体" w:eastAsia="宋体" w:cs="宋体"/>
          <w:b/>
          <w:bCs/>
          <w:kern w:val="0"/>
          <w:sz w:val="24"/>
          <w:szCs w:val="24"/>
          <w:lang w:val="ru-RU"/>
        </w:rPr>
      </w:pPr>
    </w:p>
    <w:p>
      <w:pPr>
        <w:widowControl/>
        <w:adjustRightInd w:val="0"/>
        <w:snapToGrid w:val="0"/>
        <w:spacing w:before="156" w:beforeLines="50" w:after="156" w:afterLines="50" w:line="360" w:lineRule="auto"/>
        <w:ind w:firstLine="482"/>
        <w:jc w:val="right"/>
        <w:rPr>
          <w:rFonts w:ascii="宋体" w:hAnsi="宋体" w:eastAsia="宋体" w:cs="宋体"/>
          <w:b/>
          <w:bCs/>
          <w:kern w:val="0"/>
          <w:sz w:val="24"/>
          <w:szCs w:val="24"/>
          <w:lang w:val="ru-RU"/>
        </w:rPr>
      </w:pPr>
      <w:r>
        <w:rPr>
          <w:rFonts w:hint="eastAsia" w:ascii="宋体" w:hAnsi="宋体" w:eastAsia="宋体" w:cs="宋体"/>
          <w:b/>
          <w:bCs/>
          <w:kern w:val="0"/>
          <w:sz w:val="24"/>
          <w:szCs w:val="24"/>
        </w:rPr>
        <w:t>江苏宁沪高速公路</w:t>
      </w:r>
      <w:r>
        <w:rPr>
          <w:rFonts w:hint="eastAsia" w:ascii="宋体" w:hAnsi="宋体" w:eastAsia="宋体" w:cs="宋体"/>
          <w:b/>
          <w:bCs/>
          <w:kern w:val="0"/>
          <w:sz w:val="24"/>
          <w:szCs w:val="24"/>
          <w:lang w:val="ru-RU"/>
        </w:rPr>
        <w:t>股份有限公司董事会</w:t>
      </w:r>
    </w:p>
    <w:p>
      <w:pPr>
        <w:widowControl/>
        <w:adjustRightInd w:val="0"/>
        <w:snapToGrid w:val="0"/>
        <w:spacing w:before="156" w:beforeLines="50" w:after="156" w:afterLines="50" w:line="360" w:lineRule="auto"/>
        <w:ind w:firstLine="482"/>
        <w:jc w:val="right"/>
        <w:rPr>
          <w:rFonts w:ascii="宋体" w:hAnsi="宋体" w:eastAsia="宋体" w:cs="宋体"/>
          <w:color w:val="000000"/>
          <w:sz w:val="30"/>
          <w:szCs w:val="30"/>
        </w:rPr>
      </w:pPr>
      <w:r>
        <w:rPr>
          <w:rFonts w:hint="eastAsia" w:ascii="宋体" w:hAnsi="宋体" w:eastAsia="宋体" w:cs="宋体"/>
          <w:b/>
          <w:bCs/>
          <w:kern w:val="0"/>
          <w:sz w:val="24"/>
          <w:szCs w:val="24"/>
        </w:rPr>
        <w:t>2022</w:t>
      </w:r>
      <w:r>
        <w:rPr>
          <w:rFonts w:hint="eastAsia" w:ascii="宋体" w:hAnsi="宋体" w:eastAsia="宋体" w:cs="宋体"/>
          <w:b/>
          <w:bCs/>
          <w:kern w:val="0"/>
          <w:sz w:val="24"/>
          <w:szCs w:val="24"/>
          <w:lang w:val="ru-RU"/>
        </w:rPr>
        <w:t>年</w:t>
      </w:r>
      <w:r>
        <w:rPr>
          <w:rFonts w:hint="eastAsia" w:ascii="宋体" w:hAnsi="宋体" w:eastAsia="宋体" w:cs="宋体"/>
          <w:b/>
          <w:bCs/>
          <w:kern w:val="0"/>
          <w:sz w:val="24"/>
          <w:szCs w:val="24"/>
        </w:rPr>
        <w:t>6</w:t>
      </w:r>
      <w:r>
        <w:rPr>
          <w:rFonts w:hint="eastAsia" w:ascii="宋体" w:hAnsi="宋体" w:eastAsia="宋体" w:cs="宋体"/>
          <w:b/>
          <w:bCs/>
          <w:kern w:val="0"/>
          <w:sz w:val="24"/>
          <w:szCs w:val="24"/>
          <w:lang w:val="ru-RU"/>
        </w:rPr>
        <w:t>月</w:t>
      </w:r>
      <w:r>
        <w:rPr>
          <w:rFonts w:hint="eastAsia" w:ascii="宋体" w:hAnsi="宋体" w:eastAsia="宋体" w:cs="宋体"/>
          <w:b/>
          <w:bCs/>
          <w:kern w:val="0"/>
          <w:sz w:val="24"/>
          <w:szCs w:val="24"/>
        </w:rPr>
        <w:t>18</w:t>
      </w:r>
      <w:r>
        <w:rPr>
          <w:rFonts w:hint="eastAsia" w:ascii="宋体" w:hAnsi="宋体" w:eastAsia="宋体" w:cs="宋体"/>
          <w:b/>
          <w:bCs/>
          <w:kern w:val="0"/>
          <w:sz w:val="24"/>
          <w:szCs w:val="24"/>
          <w:lang w:val="ru-RU"/>
        </w:rPr>
        <w:t>日</w:t>
      </w:r>
    </w:p>
    <w:sectPr>
      <w:headerReference r:id="rId3" w:type="default"/>
      <w:footerReference r:id="rId4" w:type="default"/>
      <w:pgSz w:w="11906" w:h="16838"/>
      <w:pgMar w:top="1383"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6376979"/>
    </w:sdtPr>
    <w:sdtContent>
      <w:p>
        <w:pPr>
          <w:pStyle w:val="9"/>
          <w:jc w:val="center"/>
        </w:pPr>
        <w:r>
          <w:fldChar w:fldCharType="begin"/>
        </w:r>
        <w:r>
          <w:instrText xml:space="preserve">PAGE   \* MERGEFORMAT</w:instrText>
        </w:r>
        <w:r>
          <w:fldChar w:fldCharType="separate"/>
        </w:r>
        <w:r>
          <w:rPr>
            <w:lang w:val="zh-CN"/>
          </w:rPr>
          <w:t>4</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1A8ED8"/>
    <w:multiLevelType w:val="singleLevel"/>
    <w:tmpl w:val="D91A8ED8"/>
    <w:lvl w:ilvl="0" w:tentative="0">
      <w:start w:val="8"/>
      <w:numFmt w:val="chineseCounting"/>
      <w:suff w:val="nothing"/>
      <w:lvlText w:val="（%1）"/>
      <w:lvlJc w:val="left"/>
      <w:rPr>
        <w:rFonts w:hint="eastAsia"/>
      </w:rPr>
    </w:lvl>
  </w:abstractNum>
  <w:abstractNum w:abstractNumId="1">
    <w:nsid w:val="5E7B1010"/>
    <w:multiLevelType w:val="multilevel"/>
    <w:tmpl w:val="5E7B1010"/>
    <w:lvl w:ilvl="0" w:tentative="0">
      <w:start w:val="1"/>
      <w:numFmt w:val="chineseCountingThousand"/>
      <w:pStyle w:val="3"/>
      <w:lvlText w:val="%1、"/>
      <w:lvlJc w:val="left"/>
      <w:pPr>
        <w:ind w:left="0" w:firstLine="0"/>
      </w:pPr>
      <w:rPr>
        <w:rFonts w:hint="eastAsia" w:ascii="黑体" w:hAnsi="黑体" w:eastAsia="黑体"/>
        <w:b w:val="0"/>
        <w:i w:val="0"/>
        <w:sz w:val="26"/>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
    <w:nsid w:val="74646B16"/>
    <w:multiLevelType w:val="multilevel"/>
    <w:tmpl w:val="74646B16"/>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mMmIwMWIxYzAyZmZiMWZlOTY3NTcxZmU2NzhhZTEifQ=="/>
  </w:docVars>
  <w:rsids>
    <w:rsidRoot w:val="00172A27"/>
    <w:rsid w:val="00004D6A"/>
    <w:rsid w:val="00012D48"/>
    <w:rsid w:val="00027869"/>
    <w:rsid w:val="00027D07"/>
    <w:rsid w:val="00051EAC"/>
    <w:rsid w:val="000607D6"/>
    <w:rsid w:val="00063231"/>
    <w:rsid w:val="00066C71"/>
    <w:rsid w:val="00076CA2"/>
    <w:rsid w:val="00090CD6"/>
    <w:rsid w:val="000C3D68"/>
    <w:rsid w:val="000C7B16"/>
    <w:rsid w:val="000D47E0"/>
    <w:rsid w:val="001006CF"/>
    <w:rsid w:val="00117D19"/>
    <w:rsid w:val="0014188B"/>
    <w:rsid w:val="001B757C"/>
    <w:rsid w:val="001B7E73"/>
    <w:rsid w:val="001C5C17"/>
    <w:rsid w:val="001D2023"/>
    <w:rsid w:val="002627B6"/>
    <w:rsid w:val="002645CA"/>
    <w:rsid w:val="002813D8"/>
    <w:rsid w:val="00293727"/>
    <w:rsid w:val="00294FCA"/>
    <w:rsid w:val="002A60C3"/>
    <w:rsid w:val="002B62B7"/>
    <w:rsid w:val="002C5C2F"/>
    <w:rsid w:val="002C7EE3"/>
    <w:rsid w:val="002D6CA4"/>
    <w:rsid w:val="002E03D0"/>
    <w:rsid w:val="002E1937"/>
    <w:rsid w:val="002F7B45"/>
    <w:rsid w:val="003109BD"/>
    <w:rsid w:val="003202A8"/>
    <w:rsid w:val="003300E1"/>
    <w:rsid w:val="003649E3"/>
    <w:rsid w:val="003658BB"/>
    <w:rsid w:val="00385DED"/>
    <w:rsid w:val="00386D16"/>
    <w:rsid w:val="003C49D7"/>
    <w:rsid w:val="003C5656"/>
    <w:rsid w:val="003E3AFE"/>
    <w:rsid w:val="003F24CC"/>
    <w:rsid w:val="003F578C"/>
    <w:rsid w:val="00410787"/>
    <w:rsid w:val="0043161D"/>
    <w:rsid w:val="004328CA"/>
    <w:rsid w:val="00464DC8"/>
    <w:rsid w:val="00472D09"/>
    <w:rsid w:val="004765DD"/>
    <w:rsid w:val="004A57E5"/>
    <w:rsid w:val="004A632D"/>
    <w:rsid w:val="004A7A25"/>
    <w:rsid w:val="004B2E5E"/>
    <w:rsid w:val="004D046C"/>
    <w:rsid w:val="004D071A"/>
    <w:rsid w:val="00526209"/>
    <w:rsid w:val="005323CB"/>
    <w:rsid w:val="00544C27"/>
    <w:rsid w:val="00550A89"/>
    <w:rsid w:val="00556C39"/>
    <w:rsid w:val="005802DC"/>
    <w:rsid w:val="00583BE6"/>
    <w:rsid w:val="00596AC2"/>
    <w:rsid w:val="005D0B1E"/>
    <w:rsid w:val="005D724F"/>
    <w:rsid w:val="005F6C91"/>
    <w:rsid w:val="00650E52"/>
    <w:rsid w:val="006623D4"/>
    <w:rsid w:val="00666EFD"/>
    <w:rsid w:val="00671228"/>
    <w:rsid w:val="00671AD0"/>
    <w:rsid w:val="006854EB"/>
    <w:rsid w:val="006A29BA"/>
    <w:rsid w:val="006A5F24"/>
    <w:rsid w:val="006B08F4"/>
    <w:rsid w:val="006B3ADF"/>
    <w:rsid w:val="006B6557"/>
    <w:rsid w:val="006B7AD1"/>
    <w:rsid w:val="006C5815"/>
    <w:rsid w:val="006D6095"/>
    <w:rsid w:val="006D62AC"/>
    <w:rsid w:val="006F390C"/>
    <w:rsid w:val="006F3972"/>
    <w:rsid w:val="0070193B"/>
    <w:rsid w:val="00711D7C"/>
    <w:rsid w:val="00736F67"/>
    <w:rsid w:val="00771740"/>
    <w:rsid w:val="007A3251"/>
    <w:rsid w:val="007C2683"/>
    <w:rsid w:val="007C6F75"/>
    <w:rsid w:val="007C72FB"/>
    <w:rsid w:val="008026C9"/>
    <w:rsid w:val="0081380E"/>
    <w:rsid w:val="00833D58"/>
    <w:rsid w:val="00842D1B"/>
    <w:rsid w:val="008450DC"/>
    <w:rsid w:val="008514BE"/>
    <w:rsid w:val="008720DE"/>
    <w:rsid w:val="008844A0"/>
    <w:rsid w:val="008A7BCE"/>
    <w:rsid w:val="008B5EAD"/>
    <w:rsid w:val="008F50EB"/>
    <w:rsid w:val="009040BD"/>
    <w:rsid w:val="009117CE"/>
    <w:rsid w:val="00912040"/>
    <w:rsid w:val="00914798"/>
    <w:rsid w:val="00937593"/>
    <w:rsid w:val="00942EEC"/>
    <w:rsid w:val="00952D27"/>
    <w:rsid w:val="009534D2"/>
    <w:rsid w:val="00974527"/>
    <w:rsid w:val="00983E7D"/>
    <w:rsid w:val="00985A4D"/>
    <w:rsid w:val="009B5FCF"/>
    <w:rsid w:val="009D60A9"/>
    <w:rsid w:val="009E6687"/>
    <w:rsid w:val="009F4F1B"/>
    <w:rsid w:val="009F5AB1"/>
    <w:rsid w:val="009F7613"/>
    <w:rsid w:val="00A01677"/>
    <w:rsid w:val="00A043BB"/>
    <w:rsid w:val="00A37CC7"/>
    <w:rsid w:val="00A42EEE"/>
    <w:rsid w:val="00A65B7A"/>
    <w:rsid w:val="00A920B6"/>
    <w:rsid w:val="00AA1BA9"/>
    <w:rsid w:val="00AA3C7F"/>
    <w:rsid w:val="00AB141C"/>
    <w:rsid w:val="00AC6A6F"/>
    <w:rsid w:val="00AD074D"/>
    <w:rsid w:val="00AE2D56"/>
    <w:rsid w:val="00AE484A"/>
    <w:rsid w:val="00AE5F76"/>
    <w:rsid w:val="00B209BE"/>
    <w:rsid w:val="00B309E3"/>
    <w:rsid w:val="00B33564"/>
    <w:rsid w:val="00B34A6D"/>
    <w:rsid w:val="00B3798B"/>
    <w:rsid w:val="00B6080A"/>
    <w:rsid w:val="00B62D68"/>
    <w:rsid w:val="00B70A3E"/>
    <w:rsid w:val="00B74A2C"/>
    <w:rsid w:val="00B77B05"/>
    <w:rsid w:val="00B84E4D"/>
    <w:rsid w:val="00B86141"/>
    <w:rsid w:val="00BA351B"/>
    <w:rsid w:val="00BB0D46"/>
    <w:rsid w:val="00BD0CB7"/>
    <w:rsid w:val="00BE21EA"/>
    <w:rsid w:val="00C00F13"/>
    <w:rsid w:val="00C61582"/>
    <w:rsid w:val="00CA005A"/>
    <w:rsid w:val="00CD1B97"/>
    <w:rsid w:val="00CD2519"/>
    <w:rsid w:val="00CE7788"/>
    <w:rsid w:val="00CF7594"/>
    <w:rsid w:val="00D40F9B"/>
    <w:rsid w:val="00D46CC3"/>
    <w:rsid w:val="00D71D73"/>
    <w:rsid w:val="00DA7C80"/>
    <w:rsid w:val="00DB5FC9"/>
    <w:rsid w:val="00DB6338"/>
    <w:rsid w:val="00DE5E52"/>
    <w:rsid w:val="00DE7BF0"/>
    <w:rsid w:val="00E12811"/>
    <w:rsid w:val="00E155A5"/>
    <w:rsid w:val="00E3494E"/>
    <w:rsid w:val="00E71269"/>
    <w:rsid w:val="00E81211"/>
    <w:rsid w:val="00ED118C"/>
    <w:rsid w:val="00ED24F2"/>
    <w:rsid w:val="00EF14FA"/>
    <w:rsid w:val="00F00C30"/>
    <w:rsid w:val="00F25CD6"/>
    <w:rsid w:val="00F2781E"/>
    <w:rsid w:val="00F60370"/>
    <w:rsid w:val="00F76428"/>
    <w:rsid w:val="00FA6905"/>
    <w:rsid w:val="00FC16E4"/>
    <w:rsid w:val="00FC285C"/>
    <w:rsid w:val="2BF16CBD"/>
    <w:rsid w:val="2FE601DC"/>
    <w:rsid w:val="30670D37"/>
    <w:rsid w:val="3A43585A"/>
    <w:rsid w:val="3B5D6C46"/>
    <w:rsid w:val="44010534"/>
    <w:rsid w:val="44A40403"/>
    <w:rsid w:val="4B81322A"/>
    <w:rsid w:val="4C9F1512"/>
    <w:rsid w:val="4DFF6C8F"/>
    <w:rsid w:val="4FDE3273"/>
    <w:rsid w:val="56142791"/>
    <w:rsid w:val="59127ACB"/>
    <w:rsid w:val="5B383ACD"/>
    <w:rsid w:val="5B3B47D4"/>
    <w:rsid w:val="64DB75BF"/>
    <w:rsid w:val="731D42F0"/>
    <w:rsid w:val="732D7DA5"/>
    <w:rsid w:val="75A07299"/>
    <w:rsid w:val="79FF6DA8"/>
    <w:rsid w:val="7CBF0D04"/>
    <w:rsid w:val="7F7E6360"/>
    <w:rsid w:val="DFDFA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qFormat="1" w:unhideWhenUsed="0"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4"/>
    <w:next w:val="1"/>
    <w:unhideWhenUsed/>
    <w:qFormat/>
    <w:uiPriority w:val="0"/>
    <w:pPr>
      <w:keepNext/>
      <w:keepLines/>
      <w:numPr>
        <w:ilvl w:val="0"/>
        <w:numId w:val="1"/>
      </w:numPr>
      <w:spacing w:before="240" w:after="240" w:line="360" w:lineRule="auto"/>
      <w:ind w:firstLine="721" w:firstLineChars="200"/>
      <w:outlineLvl w:val="1"/>
    </w:pPr>
    <w:rPr>
      <w:rFonts w:eastAsia="黑体" w:asciiTheme="majorHAnsi" w:hAnsiTheme="majorHAnsi" w:cstheme="majorBidi"/>
      <w:bCs/>
      <w:sz w:val="26"/>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lock Text"/>
    <w:basedOn w:val="1"/>
    <w:qFormat/>
    <w:uiPriority w:val="0"/>
    <w:pPr>
      <w:ind w:left="1440" w:leftChars="700" w:right="700" w:rightChars="700"/>
    </w:pPr>
  </w:style>
  <w:style w:type="paragraph" w:styleId="5">
    <w:name w:val="annotation text"/>
    <w:basedOn w:val="1"/>
    <w:link w:val="22"/>
    <w:semiHidden/>
    <w:unhideWhenUsed/>
    <w:qFormat/>
    <w:uiPriority w:val="0"/>
    <w:pPr>
      <w:jc w:val="left"/>
    </w:pPr>
  </w:style>
  <w:style w:type="paragraph" w:styleId="6">
    <w:name w:val="Body Text"/>
    <w:basedOn w:val="1"/>
    <w:qFormat/>
    <w:uiPriority w:val="1"/>
    <w:pPr>
      <w:spacing w:before="102"/>
      <w:ind w:left="112"/>
    </w:pPr>
    <w:rPr>
      <w:sz w:val="28"/>
      <w:szCs w:val="28"/>
    </w:rPr>
  </w:style>
  <w:style w:type="paragraph" w:styleId="7">
    <w:name w:val="Body Text Indent 2"/>
    <w:basedOn w:val="1"/>
    <w:qFormat/>
    <w:uiPriority w:val="0"/>
    <w:pPr>
      <w:spacing w:line="600" w:lineRule="exact"/>
      <w:ind w:firstLine="600" w:firstLineChars="200"/>
    </w:pPr>
    <w:rPr>
      <w:rFonts w:ascii="仿宋_GB2312" w:hAnsi="宋体" w:eastAsia="仿宋_GB2312" w:cs="Times New Roman"/>
      <w:sz w:val="30"/>
      <w:szCs w:val="30"/>
    </w:rPr>
  </w:style>
  <w:style w:type="paragraph" w:styleId="8">
    <w:name w:val="Balloon Text"/>
    <w:basedOn w:val="1"/>
    <w:link w:val="21"/>
    <w:qFormat/>
    <w:uiPriority w:val="0"/>
    <w:rPr>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5"/>
    <w:next w:val="5"/>
    <w:link w:val="23"/>
    <w:semiHidden/>
    <w:unhideWhenUsed/>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semiHidden/>
    <w:unhideWhenUsed/>
    <w:qFormat/>
    <w:uiPriority w:val="0"/>
    <w:rPr>
      <w:sz w:val="21"/>
      <w:szCs w:val="21"/>
    </w:rPr>
  </w:style>
  <w:style w:type="paragraph" w:customStyle="1" w:styleId="17">
    <w:name w:val="列出段落1"/>
    <w:basedOn w:val="1"/>
    <w:qFormat/>
    <w:uiPriority w:val="34"/>
    <w:pPr>
      <w:ind w:firstLine="420" w:firstLineChars="200"/>
    </w:pPr>
  </w:style>
  <w:style w:type="character" w:customStyle="1" w:styleId="18">
    <w:name w:val="页眉 Char"/>
    <w:basedOn w:val="15"/>
    <w:link w:val="10"/>
    <w:qFormat/>
    <w:uiPriority w:val="0"/>
    <w:rPr>
      <w:kern w:val="2"/>
      <w:sz w:val="18"/>
      <w:szCs w:val="18"/>
    </w:rPr>
  </w:style>
  <w:style w:type="character" w:customStyle="1" w:styleId="19">
    <w:name w:val="页脚 Char"/>
    <w:basedOn w:val="15"/>
    <w:link w:val="9"/>
    <w:qFormat/>
    <w:uiPriority w:val="99"/>
    <w:rPr>
      <w:kern w:val="2"/>
      <w:sz w:val="18"/>
      <w:szCs w:val="18"/>
    </w:rPr>
  </w:style>
  <w:style w:type="paragraph" w:styleId="20">
    <w:name w:val="List Paragraph"/>
    <w:basedOn w:val="1"/>
    <w:qFormat/>
    <w:uiPriority w:val="34"/>
    <w:pPr>
      <w:ind w:firstLine="420" w:firstLineChars="200"/>
    </w:pPr>
    <w:rPr>
      <w:rFonts w:ascii="Calibri" w:hAnsi="Calibri" w:eastAsia="宋体" w:cs="Times New Roman"/>
    </w:rPr>
  </w:style>
  <w:style w:type="character" w:customStyle="1" w:styleId="21">
    <w:name w:val="批注框文本 Char"/>
    <w:basedOn w:val="15"/>
    <w:link w:val="8"/>
    <w:qFormat/>
    <w:uiPriority w:val="0"/>
    <w:rPr>
      <w:kern w:val="2"/>
      <w:sz w:val="18"/>
      <w:szCs w:val="18"/>
    </w:rPr>
  </w:style>
  <w:style w:type="character" w:customStyle="1" w:styleId="22">
    <w:name w:val="批注文字 Char"/>
    <w:basedOn w:val="15"/>
    <w:link w:val="5"/>
    <w:semiHidden/>
    <w:qFormat/>
    <w:uiPriority w:val="0"/>
    <w:rPr>
      <w:kern w:val="2"/>
      <w:sz w:val="21"/>
      <w:szCs w:val="22"/>
    </w:rPr>
  </w:style>
  <w:style w:type="character" w:customStyle="1" w:styleId="23">
    <w:name w:val="批注主题 Char"/>
    <w:basedOn w:val="22"/>
    <w:link w:val="12"/>
    <w:qFormat/>
    <w:uiPriority w:val="0"/>
    <w:rPr>
      <w:kern w:val="2"/>
      <w:sz w:val="21"/>
      <w:szCs w:val="22"/>
    </w:rPr>
  </w:style>
  <w:style w:type="character" w:customStyle="1" w:styleId="24">
    <w:name w:val="highlight"/>
    <w:basedOn w:val="1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2566</Words>
  <Characters>2779</Characters>
  <Lines>20</Lines>
  <Paragraphs>5</Paragraphs>
  <TotalTime>26</TotalTime>
  <ScaleCrop>false</ScaleCrop>
  <LinksUpToDate>false</LinksUpToDate>
  <CharactersWithSpaces>2806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2022-04-24T08:05:00Z</dcterms:created>
  <dc:creator>wanqiu.zhao</dc:creator>
  <cp:lastModifiedBy>木可三曰</cp:lastModifiedBy>
  <cp:lastPrinted>2022-06-14T06:59:00Z</cp:lastPrinted>
  <dcterms:modified xsi:type="dcterms:W3CDTF">2022-06-16T10:29:01Z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6C5F31A9F04C43AAA3F8B19860C8B4F9</vt:lpwstr>
  </property>
</Properties>
</file>