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napToGrid w:val="0"/>
        <w:spacing w:before="0" w:after="0"/>
        <w:jc w:val="center"/>
        <w:rPr>
          <w:rFonts w:hint="default" w:ascii="宋体" w:hAnsi="宋体" w:eastAsia="宋体" w:cs="宋体"/>
          <w:b/>
          <w:color w:val="000000"/>
          <w:sz w:val="24"/>
          <w:szCs w:val="22"/>
          <w:highlight w:val="none"/>
          <w:lang w:val="en-US" w:eastAsia="zh-CN"/>
        </w:rPr>
      </w:pPr>
      <w:r>
        <w:rPr>
          <w:rFonts w:hint="eastAsia" w:ascii="宋体" w:hAnsi="宋体" w:eastAsia="宋体" w:cs="宋体"/>
          <w:b/>
          <w:color w:val="000000"/>
          <w:sz w:val="24"/>
          <w:szCs w:val="22"/>
          <w:highlight w:val="none"/>
          <w:lang w:val="ru-RU" w:eastAsia="zh-CN"/>
        </w:rPr>
        <w:t>股票代码：600377       股票简称：宁沪高速        编号：临202</w:t>
      </w:r>
      <w:r>
        <w:rPr>
          <w:rFonts w:hint="eastAsia" w:ascii="宋体" w:hAnsi="宋体" w:eastAsia="宋体" w:cs="宋体"/>
          <w:b/>
          <w:color w:val="000000"/>
          <w:sz w:val="24"/>
          <w:szCs w:val="22"/>
          <w:highlight w:val="none"/>
          <w:lang w:val="en-US" w:eastAsia="zh-CN"/>
        </w:rPr>
        <w:t>2</w:t>
      </w:r>
      <w:r>
        <w:rPr>
          <w:rFonts w:hint="eastAsia" w:ascii="宋体" w:hAnsi="宋体" w:eastAsia="宋体" w:cs="宋体"/>
          <w:b/>
          <w:color w:val="000000"/>
          <w:sz w:val="24"/>
          <w:szCs w:val="22"/>
          <w:highlight w:val="none"/>
          <w:lang w:val="ru-RU" w:eastAsia="zh-CN"/>
        </w:rPr>
        <w:t>-</w:t>
      </w:r>
      <w:r>
        <w:rPr>
          <w:rFonts w:hint="eastAsia" w:ascii="宋体" w:hAnsi="宋体" w:eastAsia="宋体" w:cs="宋体"/>
          <w:b/>
          <w:color w:val="000000"/>
          <w:sz w:val="24"/>
          <w:szCs w:val="22"/>
          <w:highlight w:val="none"/>
          <w:lang w:val="en-US" w:eastAsia="zh-CN"/>
        </w:rPr>
        <w:t>032</w:t>
      </w:r>
    </w:p>
    <w:p>
      <w:pPr>
        <w:widowControl/>
        <w:adjustRightInd w:val="0"/>
        <w:snapToGrid w:val="0"/>
        <w:spacing w:before="120" w:after="240"/>
        <w:jc w:val="center"/>
        <w:rPr>
          <w:rFonts w:hint="eastAsia" w:ascii="宋体" w:hAnsi="宋体" w:eastAsia="宋体" w:cs="宋体"/>
          <w:b/>
          <w:sz w:val="28"/>
          <w:szCs w:val="28"/>
          <w:highlight w:val="none"/>
          <w:lang w:val="ru-RU" w:eastAsia="zh-CN"/>
        </w:rPr>
      </w:pPr>
    </w:p>
    <w:p>
      <w:pPr>
        <w:widowControl/>
        <w:adjustRightInd w:val="0"/>
        <w:snapToGrid w:val="0"/>
        <w:spacing w:before="120" w:after="240"/>
        <w:jc w:val="center"/>
        <w:rPr>
          <w:rFonts w:hint="eastAsia" w:ascii="宋体" w:hAnsi="宋体" w:eastAsia="宋体" w:cs="宋体"/>
          <w:b/>
          <w:sz w:val="28"/>
          <w:szCs w:val="28"/>
          <w:highlight w:val="none"/>
          <w:lang w:val="ru-RU" w:eastAsia="zh-CN"/>
        </w:rPr>
      </w:pPr>
      <w:r>
        <w:rPr>
          <w:rFonts w:hint="eastAsia" w:ascii="宋体" w:hAnsi="宋体" w:eastAsia="宋体" w:cs="宋体"/>
          <w:b/>
          <w:sz w:val="28"/>
          <w:szCs w:val="28"/>
          <w:highlight w:val="none"/>
          <w:lang w:val="ru-RU" w:eastAsia="zh-CN"/>
        </w:rPr>
        <w:t>江苏宁沪高速公路股份有限公司</w:t>
      </w:r>
    </w:p>
    <w:p>
      <w:pPr>
        <w:widowControl/>
        <w:adjustRightInd w:val="0"/>
        <w:snapToGrid w:val="0"/>
        <w:spacing w:before="120" w:after="240"/>
        <w:jc w:val="center"/>
        <w:outlineLvl w:val="0"/>
        <w:rPr>
          <w:rFonts w:hint="eastAsia" w:ascii="宋体" w:hAnsi="宋体" w:eastAsia="宋体" w:cs="宋体"/>
          <w:b/>
          <w:bCs/>
          <w:sz w:val="28"/>
          <w:szCs w:val="28"/>
          <w:highlight w:val="none"/>
          <w:lang w:val="ru-RU" w:eastAsia="zh-CN"/>
        </w:rPr>
      </w:pPr>
      <w:r>
        <w:rPr>
          <w:rFonts w:hint="eastAsia" w:ascii="宋体" w:hAnsi="宋体" w:eastAsia="宋体" w:cs="宋体"/>
          <w:b/>
          <w:bCs/>
          <w:sz w:val="28"/>
          <w:szCs w:val="28"/>
          <w:highlight w:val="none"/>
          <w:lang w:val="en-US" w:eastAsia="zh-CN"/>
        </w:rPr>
        <w:t>关于面向专业投资者公开发行公司债券预案</w:t>
      </w:r>
      <w:r>
        <w:rPr>
          <w:rFonts w:hint="eastAsia" w:ascii="宋体" w:hAnsi="宋体" w:eastAsia="宋体" w:cs="宋体"/>
          <w:b/>
          <w:bCs/>
          <w:sz w:val="28"/>
          <w:szCs w:val="28"/>
          <w:highlight w:val="none"/>
          <w:lang w:val="ru-RU" w:eastAsia="zh-CN"/>
        </w:rPr>
        <w:t>公告</w:t>
      </w:r>
    </w:p>
    <w:tbl>
      <w:tblPr>
        <w:tblStyle w:val="11"/>
        <w:tblpPr w:leftFromText="180" w:rightFromText="180" w:vertAnchor="text" w:horzAnchor="margin" w:tblpY="97"/>
        <w:tblW w:w="86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8623" w:type="dxa"/>
            <w:noWrap w:val="0"/>
            <w:vAlign w:val="top"/>
          </w:tcPr>
          <w:p>
            <w:pPr>
              <w:widowControl/>
              <w:autoSpaceDE w:val="0"/>
              <w:autoSpaceDN w:val="0"/>
              <w:adjustRightInd w:val="0"/>
              <w:snapToGrid w:val="0"/>
              <w:spacing w:before="100" w:beforeAutospacing="1" w:after="100" w:afterAutospacing="1" w:line="360" w:lineRule="auto"/>
              <w:jc w:val="both"/>
              <w:rPr>
                <w:rFonts w:hint="eastAsia" w:ascii="宋体" w:hAnsi="宋体" w:eastAsia="宋体" w:cs="宋体"/>
                <w:sz w:val="24"/>
                <w:szCs w:val="22"/>
                <w:highlight w:val="none"/>
                <w:lang w:val="ru-RU" w:eastAsia="zh-CN"/>
              </w:rPr>
            </w:pPr>
            <w:r>
              <w:rPr>
                <w:rFonts w:hint="eastAsia" w:ascii="宋体" w:hAnsi="宋体" w:eastAsia="宋体" w:cs="宋体"/>
                <w:b/>
                <w:sz w:val="24"/>
                <w:szCs w:val="22"/>
                <w:highlight w:val="none"/>
                <w:lang w:val="ru-RU" w:eastAsia="zh-CN"/>
              </w:rPr>
              <w:t>本公司董事会及全体董事保证本公告内容不存在任何虚假记载、误导性陈述或者重大遗漏，并对其内容的真实性、准确性和完整性承担个别及连带责任。</w:t>
            </w:r>
          </w:p>
        </w:tc>
      </w:tr>
    </w:tbl>
    <w:p>
      <w:pPr>
        <w:widowControl/>
        <w:autoSpaceDE w:val="0"/>
        <w:autoSpaceDN w:val="0"/>
        <w:adjustRightInd w:val="0"/>
        <w:snapToGrid w:val="0"/>
        <w:spacing w:before="120" w:after="240" w:line="160" w:lineRule="exact"/>
        <w:ind w:firstLine="482" w:firstLineChars="200"/>
        <w:jc w:val="left"/>
        <w:rPr>
          <w:rFonts w:hint="eastAsia" w:ascii="宋体" w:hAnsi="宋体" w:eastAsia="宋体" w:cs="宋体"/>
          <w:b/>
          <w:sz w:val="24"/>
          <w:szCs w:val="22"/>
          <w:highlight w:val="none"/>
          <w:lang w:val="ru-RU" w:eastAsia="zh-CN"/>
        </w:rPr>
      </w:pPr>
      <w:bookmarkStart w:id="0" w:name="BBIPBLSTA"/>
      <w:bookmarkEnd w:id="0"/>
      <w:bookmarkStart w:id="1" w:name="BondName2"/>
      <w:bookmarkEnd w:id="1"/>
    </w:p>
    <w:p>
      <w:pPr>
        <w:pStyle w:val="24"/>
        <w:shd w:val="clear" w:color="auto" w:fill="auto"/>
        <w:spacing w:before="0" w:line="360" w:lineRule="auto"/>
        <w:ind w:firstLine="520"/>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江苏宁沪高速公路股份有限公司（以下简称</w:t>
      </w:r>
      <w:r>
        <w:rPr>
          <w:rStyle w:val="23"/>
          <w:rFonts w:hint="eastAsia" w:ascii="Times New Roman" w:hAnsi="Times New Roman" w:cs="Times New Roman"/>
          <w:color w:val="000000"/>
          <w:sz w:val="24"/>
          <w:szCs w:val="24"/>
          <w:highlight w:val="none"/>
          <w:lang w:val="zh-TW" w:eastAsia="zh-CN"/>
        </w:rPr>
        <w:t>“</w:t>
      </w:r>
      <w:r>
        <w:rPr>
          <w:rStyle w:val="23"/>
          <w:rFonts w:hint="eastAsia" w:ascii="Times New Roman" w:hAnsi="Times New Roman" w:cs="Times New Roman"/>
          <w:color w:val="000000"/>
          <w:sz w:val="24"/>
          <w:szCs w:val="24"/>
          <w:highlight w:val="none"/>
          <w:lang w:val="en-US" w:eastAsia="zh-CN"/>
        </w:rPr>
        <w:t>公司</w:t>
      </w:r>
      <w:r>
        <w:rPr>
          <w:rStyle w:val="23"/>
          <w:rFonts w:hint="eastAsia" w:ascii="Times New Roman" w:hAnsi="Times New Roman" w:cs="Times New Roman"/>
          <w:color w:val="000000"/>
          <w:sz w:val="24"/>
          <w:szCs w:val="24"/>
          <w:highlight w:val="none"/>
          <w:lang w:val="zh-TW" w:eastAsia="zh-CN"/>
        </w:rPr>
        <w:t>”</w:t>
      </w:r>
      <w:r>
        <w:rPr>
          <w:rStyle w:val="23"/>
          <w:rFonts w:hint="default" w:ascii="Times New Roman" w:hAnsi="Times New Roman" w:eastAsia="宋体" w:cs="Times New Roman"/>
          <w:color w:val="000000"/>
          <w:sz w:val="24"/>
          <w:szCs w:val="24"/>
          <w:highlight w:val="none"/>
          <w:lang w:val="zh-TW"/>
        </w:rPr>
        <w:t>）拟面向专业投资者公开发行公司债券，并于2022年4月29日召开第十届董事会第九次会议，审议通过了《关于公司公开发行公司债券的议案》。公司本次拟公开发行公司债券事项尚需提请股东大会审议，现将相关发行预案公告如下。</w:t>
      </w:r>
    </w:p>
    <w:p>
      <w:pPr>
        <w:pStyle w:val="24"/>
        <w:shd w:val="clear" w:color="auto" w:fill="auto"/>
        <w:spacing w:before="0" w:line="360" w:lineRule="auto"/>
        <w:ind w:firstLine="520"/>
        <w:rPr>
          <w:rStyle w:val="23"/>
          <w:rFonts w:hint="default" w:ascii="Times New Roman" w:hAnsi="Times New Roman" w:eastAsia="宋体" w:cs="Times New Roman"/>
          <w:color w:val="000000"/>
          <w:sz w:val="24"/>
          <w:szCs w:val="24"/>
          <w:highlight w:val="none"/>
          <w:lang w:val="zh-TW"/>
        </w:rPr>
      </w:pPr>
    </w:p>
    <w:p>
      <w:pPr>
        <w:pStyle w:val="26"/>
        <w:keepNext/>
        <w:keepLines/>
        <w:shd w:val="clear" w:color="auto" w:fill="auto"/>
        <w:tabs>
          <w:tab w:val="left" w:pos="1037"/>
        </w:tabs>
        <w:spacing w:line="360" w:lineRule="auto"/>
        <w:jc w:val="both"/>
        <w:rPr>
          <w:rFonts w:hint="default" w:ascii="Times New Roman" w:hAnsi="Times New Roman" w:eastAsia="宋体" w:cs="Times New Roman"/>
          <w:sz w:val="24"/>
          <w:szCs w:val="24"/>
          <w:highlight w:val="none"/>
        </w:rPr>
      </w:pPr>
      <w:bookmarkStart w:id="2" w:name="bookmark2"/>
      <w:r>
        <w:rPr>
          <w:rStyle w:val="25"/>
          <w:rFonts w:hint="default" w:ascii="Times New Roman" w:hAnsi="Times New Roman" w:eastAsia="宋体" w:cs="Times New Roman"/>
          <w:b/>
          <w:bCs/>
          <w:color w:val="000000"/>
          <w:sz w:val="24"/>
          <w:szCs w:val="24"/>
          <w:highlight w:val="none"/>
          <w:lang w:val="zh-TW"/>
        </w:rPr>
        <w:t>一、关于公司符合公开发行公司债券条件的说明</w:t>
      </w:r>
      <w:bookmarkEnd w:id="2"/>
    </w:p>
    <w:p>
      <w:pPr>
        <w:pStyle w:val="24"/>
        <w:shd w:val="clear" w:color="auto" w:fill="auto"/>
        <w:spacing w:before="0" w:line="360" w:lineRule="auto"/>
        <w:ind w:firstLine="52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根据《中华人民共和国公司法》《中华人民共和国证券法》以及《公司债券发行与交易管理办法》等有关法律、法规和规范性文件的规定，公司符合公开发行公司债券相关政策以及法律、法规规定的条件与要求，具备公开发行公司债券的资格。</w:t>
      </w:r>
    </w:p>
    <w:p>
      <w:pPr>
        <w:pStyle w:val="24"/>
        <w:shd w:val="clear" w:color="auto" w:fill="auto"/>
        <w:spacing w:before="0" w:line="360" w:lineRule="auto"/>
        <w:ind w:firstLine="520"/>
        <w:jc w:val="both"/>
        <w:rPr>
          <w:rStyle w:val="23"/>
          <w:rFonts w:hint="default" w:ascii="Times New Roman" w:hAnsi="Times New Roman" w:eastAsia="宋体" w:cs="Times New Roman"/>
          <w:color w:val="000000"/>
          <w:sz w:val="24"/>
          <w:szCs w:val="24"/>
          <w:highlight w:val="none"/>
          <w:lang w:val="zh-TW"/>
        </w:rPr>
      </w:pPr>
    </w:p>
    <w:p>
      <w:pPr>
        <w:pStyle w:val="26"/>
        <w:keepNext/>
        <w:keepLines/>
        <w:shd w:val="clear" w:color="auto" w:fill="auto"/>
        <w:tabs>
          <w:tab w:val="left" w:pos="1037"/>
        </w:tabs>
        <w:spacing w:line="360" w:lineRule="auto"/>
        <w:jc w:val="both"/>
        <w:rPr>
          <w:rStyle w:val="25"/>
          <w:rFonts w:hint="default" w:ascii="Times New Roman" w:hAnsi="Times New Roman" w:eastAsia="宋体" w:cs="Times New Roman"/>
          <w:b w:val="0"/>
          <w:bCs w:val="0"/>
          <w:color w:val="000000"/>
          <w:sz w:val="24"/>
          <w:szCs w:val="24"/>
          <w:highlight w:val="none"/>
          <w:lang w:val="zh-TW"/>
        </w:rPr>
      </w:pPr>
      <w:bookmarkStart w:id="3" w:name="bookmark3"/>
      <w:r>
        <w:rPr>
          <w:rStyle w:val="25"/>
          <w:rFonts w:hint="default" w:ascii="Times New Roman" w:hAnsi="Times New Roman" w:eastAsia="宋体" w:cs="Times New Roman"/>
          <w:b/>
          <w:bCs/>
          <w:color w:val="000000"/>
          <w:sz w:val="24"/>
          <w:szCs w:val="24"/>
          <w:highlight w:val="none"/>
          <w:lang w:val="zh-TW"/>
        </w:rPr>
        <w:t>二、本次发行概况</w:t>
      </w:r>
      <w:bookmarkEnd w:id="3"/>
    </w:p>
    <w:p>
      <w:pPr>
        <w:pStyle w:val="24"/>
        <w:shd w:val="clear" w:color="auto" w:fill="auto"/>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为满足公司经营和业务发展的需要，进一步拓宽融资渠道，降低融资成本，公司拟面向专业投资者公开发行公司债券，发行方案具体如下：</w:t>
      </w:r>
    </w:p>
    <w:p>
      <w:pPr>
        <w:pStyle w:val="24"/>
        <w:shd w:val="clear" w:color="auto" w:fill="auto"/>
        <w:tabs>
          <w:tab w:val="left" w:pos="1286"/>
        </w:tabs>
        <w:adjustRightInd w:val="0"/>
        <w:spacing w:before="0" w:line="360" w:lineRule="auto"/>
        <w:ind w:firstLine="482" w:firstLineChars="200"/>
        <w:jc w:val="both"/>
        <w:rPr>
          <w:rFonts w:hint="default" w:ascii="Times New Roman" w:hAnsi="Times New Roman" w:eastAsia="宋体" w:cs="Times New Roman"/>
          <w:b/>
          <w:bCs/>
          <w:sz w:val="24"/>
          <w:szCs w:val="24"/>
          <w:highlight w:val="none"/>
        </w:rPr>
      </w:pPr>
      <w:r>
        <w:rPr>
          <w:rStyle w:val="23"/>
          <w:rFonts w:hint="default" w:ascii="Times New Roman" w:hAnsi="Times New Roman" w:eastAsia="宋体" w:cs="Times New Roman"/>
          <w:b/>
          <w:bCs/>
          <w:color w:val="000000"/>
          <w:sz w:val="24"/>
          <w:szCs w:val="24"/>
          <w:highlight w:val="none"/>
          <w:lang w:val="zh-TW"/>
        </w:rPr>
        <w:t>（一）发行规模</w:t>
      </w:r>
    </w:p>
    <w:p>
      <w:pPr>
        <w:pStyle w:val="24"/>
        <w:shd w:val="clear" w:color="auto" w:fill="auto"/>
        <w:adjustRightInd w:val="0"/>
        <w:spacing w:before="0" w:line="360" w:lineRule="auto"/>
        <w:ind w:left="240" w:leftChars="100" w:firstLine="336" w:firstLineChars="14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本次公开发行公司债券规模不超过人民币30亿元（含30亿元），具体发行规模提请股东大会授权董事会根据公司资金需求和发行时市场情况，在上述范围内确定。</w:t>
      </w:r>
    </w:p>
    <w:p>
      <w:pPr>
        <w:pStyle w:val="24"/>
        <w:shd w:val="clear" w:color="auto" w:fill="auto"/>
        <w:tabs>
          <w:tab w:val="left" w:pos="1286"/>
        </w:tabs>
        <w:adjustRightInd w:val="0"/>
        <w:spacing w:before="0" w:line="360" w:lineRule="auto"/>
        <w:ind w:firstLine="482" w:firstLineChars="200"/>
        <w:jc w:val="both"/>
        <w:rPr>
          <w:rFonts w:hint="default" w:ascii="Times New Roman" w:hAnsi="Times New Roman" w:eastAsia="宋体" w:cs="Times New Roman"/>
          <w:b/>
          <w:bCs/>
          <w:sz w:val="24"/>
          <w:szCs w:val="24"/>
          <w:highlight w:val="none"/>
        </w:rPr>
      </w:pPr>
      <w:r>
        <w:rPr>
          <w:rStyle w:val="23"/>
          <w:rFonts w:hint="default" w:ascii="Times New Roman" w:hAnsi="Times New Roman" w:eastAsia="宋体" w:cs="Times New Roman"/>
          <w:b/>
          <w:bCs/>
          <w:color w:val="000000"/>
          <w:sz w:val="24"/>
          <w:szCs w:val="24"/>
          <w:highlight w:val="none"/>
          <w:lang w:val="zh-TW"/>
        </w:rPr>
        <w:t>（二）票面金额及发行价格</w:t>
      </w:r>
    </w:p>
    <w:p>
      <w:pPr>
        <w:pStyle w:val="24"/>
        <w:shd w:val="clear" w:color="auto" w:fill="auto"/>
        <w:adjustRightInd w:val="0"/>
        <w:spacing w:before="0" w:line="360" w:lineRule="auto"/>
        <w:ind w:left="240" w:leftChars="100" w:firstLine="336" w:firstLineChars="14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本次公开发行的公司债券面值为100元，按面值平价发行。</w:t>
      </w:r>
    </w:p>
    <w:p>
      <w:pPr>
        <w:pStyle w:val="24"/>
        <w:shd w:val="clear" w:color="auto" w:fill="auto"/>
        <w:tabs>
          <w:tab w:val="left" w:pos="1286"/>
        </w:tabs>
        <w:adjustRightInd w:val="0"/>
        <w:spacing w:before="0" w:line="360" w:lineRule="auto"/>
        <w:ind w:firstLine="482" w:firstLineChars="200"/>
        <w:jc w:val="both"/>
        <w:rPr>
          <w:rStyle w:val="23"/>
          <w:rFonts w:hint="default" w:ascii="Times New Roman" w:hAnsi="Times New Roman" w:eastAsia="宋体" w:cs="Times New Roman"/>
          <w:b/>
          <w:bCs/>
          <w:color w:val="000000"/>
          <w:sz w:val="24"/>
          <w:szCs w:val="24"/>
          <w:highlight w:val="none"/>
          <w:lang w:val="zh-TW"/>
        </w:rPr>
      </w:pPr>
      <w:r>
        <w:rPr>
          <w:rStyle w:val="23"/>
          <w:rFonts w:hint="default" w:ascii="Times New Roman" w:hAnsi="Times New Roman" w:eastAsia="宋体" w:cs="Times New Roman"/>
          <w:b/>
          <w:bCs/>
          <w:color w:val="000000"/>
          <w:sz w:val="24"/>
          <w:szCs w:val="24"/>
          <w:highlight w:val="none"/>
          <w:lang w:val="zh-TW"/>
        </w:rPr>
        <w:t>（三）发行方式</w:t>
      </w:r>
    </w:p>
    <w:p>
      <w:pPr>
        <w:pStyle w:val="3"/>
        <w:spacing w:line="360" w:lineRule="auto"/>
        <w:ind w:firstLine="480" w:firstLineChars="200"/>
        <w:rPr>
          <w:rFonts w:hint="default" w:ascii="Times New Roman" w:hAnsi="Times New Roman" w:eastAsia="宋体" w:cs="Times New Roman"/>
          <w:sz w:val="24"/>
          <w:szCs w:val="24"/>
          <w:highlight w:val="none"/>
          <w:lang w:eastAsia="zh-CN"/>
        </w:rPr>
      </w:pPr>
      <w:r>
        <w:rPr>
          <w:rStyle w:val="23"/>
          <w:rFonts w:hint="default" w:ascii="Times New Roman" w:hAnsi="Times New Roman" w:eastAsia="宋体" w:cs="Times New Roman"/>
          <w:sz w:val="24"/>
          <w:szCs w:val="24"/>
          <w:highlight w:val="none"/>
        </w:rPr>
        <w:t>本次公司债券将采用面向符合《公司债券发行与交易管理办法》规定的专业投资者公开发行的方式发行。根据实际资金需求，在相关监管机构备案、核准、注册登记有效期内一次性或分期多次发行。具体分期方式将提请股东大会授权董事会根据公司资金需求情况和发行时的市场情况确定。</w:t>
      </w:r>
    </w:p>
    <w:p>
      <w:pPr>
        <w:pStyle w:val="24"/>
        <w:shd w:val="clear" w:color="auto" w:fill="auto"/>
        <w:tabs>
          <w:tab w:val="left" w:pos="1286"/>
        </w:tabs>
        <w:adjustRightInd w:val="0"/>
        <w:spacing w:before="0" w:line="360" w:lineRule="auto"/>
        <w:ind w:firstLine="482" w:firstLineChars="200"/>
        <w:jc w:val="both"/>
        <w:rPr>
          <w:rStyle w:val="23"/>
          <w:rFonts w:hint="default" w:ascii="Times New Roman" w:hAnsi="Times New Roman" w:eastAsia="宋体" w:cs="Times New Roman"/>
          <w:b/>
          <w:bCs/>
          <w:color w:val="000000"/>
          <w:sz w:val="24"/>
          <w:szCs w:val="24"/>
          <w:highlight w:val="none"/>
          <w:lang w:val="zh-TW"/>
        </w:rPr>
      </w:pPr>
      <w:r>
        <w:rPr>
          <w:rStyle w:val="23"/>
          <w:rFonts w:hint="default" w:ascii="Times New Roman" w:hAnsi="Times New Roman" w:eastAsia="宋体" w:cs="Times New Roman"/>
          <w:b/>
          <w:bCs/>
          <w:color w:val="000000"/>
          <w:sz w:val="24"/>
          <w:szCs w:val="24"/>
          <w:highlight w:val="none"/>
          <w:lang w:val="zh-TW"/>
        </w:rPr>
        <w:t>（四）债券期限及品种</w:t>
      </w:r>
    </w:p>
    <w:p>
      <w:pPr>
        <w:pStyle w:val="24"/>
        <w:shd w:val="clear" w:color="auto" w:fill="auto"/>
        <w:tabs>
          <w:tab w:val="left" w:pos="1286"/>
        </w:tabs>
        <w:adjustRightIn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本次公开发行公司债券的期限不超过5年（含5年），可为单一期限品种或多种期限混合品种，本次公开发行公司债券的具体期限构成和发行规模将提请股东大会授权董事会根据公司资金需求情况和发行时的市场情况确定。</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（五）债券利率</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本次公开发行的公司债券票面利率将不超过国务院或其他有权机构限定的利率水平，并将提请股东大会授权董事会根据市场情况和公司需求情况确定。</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（六）债券的还本付息方式</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司债券采用单利按年计息，不计复利，逾期不另计息。每年付息一次，到期一次还本，最后一期利息随本金的兑付一起支付。具体还本付息方式提请股东大会授权董事会根据公司资金需求情况和发行时的市场情况确定。</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（七）向公司股东配售的安排</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本次公开发行公司债券可向公司股东配售，是否配售及具体配售安排（包括配售比例等）提请股东大会授权董事会根据市场状况及发行具体事宜确定。</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（八）赎回或回售条款</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本次公司债券发行是否涉及赎回条款或回售条款及相关条款，具体内容将提请股东大会授权董事会根据相关规定和市场情况确定。</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（九）担保条款</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本次债券发行为无担保发行。</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（十）募集资金用途</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本次公开发行公司债券的募集资金拟用于并购、项目建设及法律法规允许的其他用途。具体募集资金用途将提请股东大会授权董事会根据公司资金需求情况和公司财务结构确定。</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（十一）承销方式</w:t>
      </w:r>
    </w:p>
    <w:p>
      <w:pPr>
        <w:pStyle w:val="3"/>
        <w:spacing w:line="360" w:lineRule="auto"/>
        <w:ind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本次发行公司债券由主承销商负责组建承销团，以余额包销的方式承销。</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（十二）交易流通场所</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本次公开发行公司债券议案通过并发行后，公司将向上海证券交易所、证监会提出关于本次公司债券上市交易的申请。将提请股东大会授权董事会根据上海证券交易所、证监会的相关规定办理上市交易事宜。</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（十三）偿债保障措施</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在公司债券存续期间，当公司出现预计不能按期偿付债券本息或者到期未能按期偿付债券本息时，同意公司至少采取如下措施，并将提请股东大会授权董事会办理如下措施相关的一切事宜：</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（1）不向股东分配利润；</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（2）暂缓重大对外投资、收购兼并等资本性支出项目的实施；</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（3）调减或停发董事和高级管理人员的工资和奖金；</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（4）主要责任人不得调离。</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（十四）决议的有效期</w:t>
      </w:r>
    </w:p>
    <w:p>
      <w:pPr>
        <w:pStyle w:val="51"/>
        <w:spacing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本次公开发行公司债券决议自本公司股东大会审批通过之日起至本次公司债券批文到期日之间有效。</w:t>
      </w:r>
    </w:p>
    <w:p>
      <w:pPr>
        <w:pStyle w:val="51"/>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（十五）关于本次发行公司债券的授权事项</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为保证本次公开发行公司债券工作能够有序、高效地进行，将提请股东大会授权董事会及董事会授权人士在有关法律、法规允许的范围内，以及届时的市场条件，从维护公司股东利益最大化的原则出发，全权办理本次发行公司债券的全部事宜，包括但不限于：</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1、在法律、法规允许的范围内，根据公司和市场的具体情况，制定本次发行公司债券的具体发行方案以及修订、调整本次发行公司债券的发行条款，包括但不限于具体发行规模、债券期限和品种、发行价格、债券利率或其确定方式、发行时机、发行期数及规模、是否设置回售条款和赎回条款、是否向公司股东配售及具体安排、评级安排、担保事项、还本付息、偿债保障措施、交易流通安排、确定承销安排等与发行条款有关的一切事宜，以及在股东大会批准的用途范围内决定募集资金的具体使用等事宜；</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2、决定聘请参与本次发行的中介机构，执行就本次公司债券发行及申请上市交易所有必要的步骤（包括但不限于签署所有必要的法律文件；编制及向监管机构报送有关申请文件；并取得监管机构的批准，为本次发行债券选择债券受托管理人；签署受托管理协议以及制定债券持有人会议规则；办理本次发行公司债券有关的其它事项；在本次公司债券发行完成后，根据有关证券交易所的相关规定，决定和办理本次发行的公司债券上市的相关事宜；根据适用的监管规则进行必要的相关信息披露）及在董事会已就本次公司债券发行及上市作出任何上述步骤的情况下，批准、确认及追认该等步骤；</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3、如监管部门对发行政策发生变化或市场条件发生变化，除涉及有关法律、法规及《公司章程》规定必须由股东大会重新决定的事项外，授权董事会根据监管部门的意见对本次发行的具体方案等相关事项进行相应调整；</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4、在市场环境和政策法规发生重大变化时，根据实际情况决定是否继续开展本次公司债券发行工作；</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5、在本次债券存续期内办理还本付息等事项；</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6、与相关商业银行商谈开设募集资金专项账户事宜，并根据项目进展情况及时与主承销商、存放募集资金的商业银行签订募集资金专户存储三方监管协议；</w:t>
      </w:r>
    </w:p>
    <w:p>
      <w:pPr>
        <w:pStyle w:val="51"/>
        <w:spacing w:line="360" w:lineRule="auto"/>
        <w:ind w:firstLine="480" w:firstLineChars="200"/>
        <w:jc w:val="both"/>
        <w:rPr>
          <w:rStyle w:val="23"/>
          <w:rFonts w:hint="default" w:ascii="Times New Roman" w:hAnsi="Times New Roman" w:eastAsia="宋体" w:cs="Times New Roman"/>
          <w:sz w:val="24"/>
          <w:szCs w:val="24"/>
          <w:highlight w:val="none"/>
          <w:lang w:val="zh-TW"/>
        </w:rPr>
      </w:pPr>
      <w:r>
        <w:rPr>
          <w:rStyle w:val="23"/>
          <w:rFonts w:hint="default" w:ascii="Times New Roman" w:hAnsi="Times New Roman" w:eastAsia="宋体" w:cs="Times New Roman"/>
          <w:sz w:val="24"/>
          <w:szCs w:val="24"/>
          <w:highlight w:val="none"/>
          <w:lang w:val="zh-TW"/>
        </w:rPr>
        <w:t>7、办理与本次公开公司债券申报、发行及交易流通有关的其他事项；</w:t>
      </w:r>
    </w:p>
    <w:p>
      <w:pPr>
        <w:pStyle w:val="24"/>
        <w:shd w:val="clear" w:color="auto" w:fill="auto"/>
        <w:adjustRightIn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8、本授权期限自股东大会审议通过之日至上述授权事项办理完毕之日止。</w:t>
      </w:r>
    </w:p>
    <w:p>
      <w:pPr>
        <w:pStyle w:val="24"/>
        <w:shd w:val="clear" w:color="auto" w:fill="auto"/>
        <w:adjustRightIn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p>
    <w:p>
      <w:pPr>
        <w:pStyle w:val="26"/>
        <w:keepNext/>
        <w:keepLines/>
        <w:shd w:val="clear" w:color="auto" w:fill="auto"/>
        <w:tabs>
          <w:tab w:val="left" w:pos="1037"/>
        </w:tabs>
        <w:spacing w:line="360" w:lineRule="auto"/>
        <w:jc w:val="both"/>
        <w:rPr>
          <w:rStyle w:val="25"/>
          <w:rFonts w:hint="default" w:ascii="Times New Roman" w:hAnsi="Times New Roman" w:eastAsia="宋体" w:cs="Times New Roman"/>
          <w:b w:val="0"/>
          <w:bCs w:val="0"/>
          <w:color w:val="000000"/>
          <w:sz w:val="24"/>
          <w:szCs w:val="24"/>
          <w:highlight w:val="none"/>
          <w:lang w:val="zh-TW"/>
        </w:rPr>
      </w:pPr>
      <w:bookmarkStart w:id="4" w:name="bookmark4"/>
      <w:r>
        <w:rPr>
          <w:rStyle w:val="25"/>
          <w:rFonts w:hint="default" w:ascii="Times New Roman" w:hAnsi="Times New Roman" w:eastAsia="宋体" w:cs="Times New Roman"/>
          <w:b/>
          <w:bCs/>
          <w:color w:val="000000"/>
          <w:sz w:val="24"/>
          <w:szCs w:val="24"/>
          <w:highlight w:val="none"/>
          <w:lang w:val="zh-TW"/>
        </w:rPr>
        <w:t>三、公司简要财务会计信息</w:t>
      </w:r>
      <w:bookmarkEnd w:id="4"/>
    </w:p>
    <w:p>
      <w:pPr>
        <w:pStyle w:val="28"/>
        <w:shd w:val="clear" w:color="auto" w:fill="auto"/>
        <w:adjustRightInd w:val="0"/>
        <w:snapToGrid w:val="0"/>
        <w:spacing w:line="360" w:lineRule="auto"/>
        <w:ind w:firstLine="482" w:firstLineChars="200"/>
        <w:outlineLvl w:val="1"/>
        <w:rPr>
          <w:rFonts w:hint="default" w:ascii="Times New Roman" w:hAnsi="Times New Roman" w:eastAsia="宋体" w:cs="Times New Roman"/>
          <w:sz w:val="24"/>
          <w:szCs w:val="24"/>
          <w:highlight w:val="none"/>
        </w:rPr>
      </w:pPr>
      <w:r>
        <w:rPr>
          <w:rStyle w:val="27"/>
          <w:rFonts w:hint="default" w:ascii="Times New Roman" w:hAnsi="Times New Roman" w:eastAsia="宋体" w:cs="Times New Roman"/>
          <w:b/>
          <w:bCs/>
          <w:color w:val="000000"/>
          <w:sz w:val="24"/>
          <w:szCs w:val="24"/>
          <w:highlight w:val="none"/>
          <w:lang w:val="zh-TW"/>
        </w:rPr>
        <w:t>（一）公司最近三年及一期合并范围变化情况</w:t>
      </w:r>
    </w:p>
    <w:p>
      <w:pPr>
        <w:tabs>
          <w:tab w:val="left" w:pos="897"/>
        </w:tabs>
        <w:adjustRightInd w:val="0"/>
        <w:snapToGrid w:val="0"/>
        <w:spacing w:line="360" w:lineRule="auto"/>
        <w:ind w:firstLine="482" w:firstLineChars="200"/>
        <w:jc w:val="both"/>
        <w:rPr>
          <w:rFonts w:hint="default" w:ascii="Times New Roman" w:hAnsi="Times New Roman" w:eastAsia="宋体" w:cs="Times New Roman"/>
          <w:b/>
          <w:bCs/>
          <w:color w:val="auto"/>
          <w:sz w:val="24"/>
          <w:szCs w:val="24"/>
          <w:highlight w:val="none"/>
          <w:lang w:val="en-US" w:eastAsia="zh-CN"/>
        </w:rPr>
      </w:pPr>
      <w:bookmarkStart w:id="5" w:name="_InMacro_"/>
      <w:bookmarkEnd w:id="5"/>
      <w:r>
        <w:rPr>
          <w:rFonts w:hint="default" w:ascii="Times New Roman" w:hAnsi="Times New Roman" w:eastAsia="宋体" w:cs="Times New Roman"/>
          <w:b/>
          <w:bCs/>
          <w:sz w:val="24"/>
          <w:szCs w:val="24"/>
          <w:highlight w:val="none"/>
          <w:lang w:eastAsia="zh-CN"/>
        </w:rPr>
        <w:t>1、公司2019年合并范围情况</w:t>
      </w:r>
    </w:p>
    <w:p>
      <w:pPr>
        <w:adjustRightInd w:val="0"/>
        <w:snapToGrid w:val="0"/>
        <w:spacing w:line="360" w:lineRule="auto"/>
        <w:ind w:firstLine="480" w:firstLineChars="200"/>
        <w:jc w:val="both"/>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报告期内，公司于2019年6月6日设立全资子公司江苏扬子江高速通道管理有限公司，于2019年6月6日本公司设立控股子公司江苏龙潭大桥有限公司，合并报表范围发生变化。</w:t>
      </w:r>
    </w:p>
    <w:p>
      <w:pPr>
        <w:spacing w:line="360" w:lineRule="auto"/>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2019年末新纳入合并报表的主要子公司情况</w:t>
      </w:r>
    </w:p>
    <w:tbl>
      <w:tblPr>
        <w:tblStyle w:val="11"/>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83"/>
        <w:gridCol w:w="1832"/>
        <w:gridCol w:w="209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exact"/>
        </w:trPr>
        <w:tc>
          <w:tcPr>
            <w:tcW w:w="1973" w:type="pct"/>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企业名称</w:t>
            </w:r>
          </w:p>
        </w:tc>
        <w:tc>
          <w:tcPr>
            <w:tcW w:w="1101" w:type="pct"/>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持股比例(％)</w:t>
            </w:r>
          </w:p>
        </w:tc>
        <w:tc>
          <w:tcPr>
            <w:tcW w:w="1259" w:type="pct"/>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注册资本（万元</w:t>
            </w:r>
            <w:r>
              <w:rPr>
                <w:rFonts w:hint="default" w:ascii="Times New Roman" w:hAnsi="Times New Roman" w:eastAsia="宋体" w:cs="Times New Roman"/>
                <w:b/>
                <w:bCs/>
                <w:sz w:val="21"/>
                <w:szCs w:val="21"/>
                <w:highlight w:val="none"/>
                <w:lang w:val="en-US" w:eastAsia="en-US"/>
              </w:rPr>
              <w:t>）</w:t>
            </w:r>
          </w:p>
        </w:tc>
        <w:tc>
          <w:tcPr>
            <w:tcW w:w="665" w:type="pct"/>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纳入原因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exact"/>
        </w:trPr>
        <w:tc>
          <w:tcPr>
            <w:tcW w:w="1973" w:type="pct"/>
            <w:shd w:val="clear" w:color="auto" w:fill="FFFFFF"/>
            <w:vAlign w:val="center"/>
          </w:tcPr>
          <w:p>
            <w:pPr>
              <w:adjustRightInd w:val="0"/>
              <w:snapToGrid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lang w:eastAsia="zh-CN"/>
              </w:rPr>
              <w:t>江苏扬子江高速通道管理有限公司</w:t>
            </w:r>
          </w:p>
        </w:tc>
        <w:tc>
          <w:tcPr>
            <w:tcW w:w="1101" w:type="pct"/>
            <w:shd w:val="clear" w:color="auto" w:fill="FFFFFF"/>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100</w:t>
            </w:r>
          </w:p>
        </w:tc>
        <w:tc>
          <w:tcPr>
            <w:tcW w:w="1259" w:type="pct"/>
            <w:shd w:val="clear" w:color="auto" w:fill="FFFFFF"/>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lang w:eastAsia="zh-CN"/>
              </w:rPr>
              <w:t>5</w:t>
            </w:r>
            <w:r>
              <w:rPr>
                <w:rFonts w:hint="default" w:ascii="Times New Roman" w:hAnsi="Times New Roman" w:eastAsia="宋体" w:cs="Times New Roman"/>
                <w:sz w:val="21"/>
                <w:szCs w:val="21"/>
                <w:highlight w:val="none"/>
              </w:rPr>
              <w:t>,000</w:t>
            </w:r>
          </w:p>
        </w:tc>
        <w:tc>
          <w:tcPr>
            <w:tcW w:w="665" w:type="pct"/>
            <w:shd w:val="clear" w:color="auto" w:fill="FFFFFF"/>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新设立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exact"/>
        </w:trPr>
        <w:tc>
          <w:tcPr>
            <w:tcW w:w="1973" w:type="pct"/>
            <w:shd w:val="clear" w:color="auto" w:fill="FFFFFF"/>
            <w:vAlign w:val="center"/>
          </w:tcPr>
          <w:p>
            <w:pPr>
              <w:adjustRightInd w:val="0"/>
              <w:snapToGrid w:val="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江苏龙潭大桥有限公司</w:t>
            </w:r>
          </w:p>
        </w:tc>
        <w:tc>
          <w:tcPr>
            <w:tcW w:w="1101" w:type="pct"/>
            <w:shd w:val="clear" w:color="auto" w:fill="FFFFFF"/>
            <w:vAlign w:val="center"/>
          </w:tcPr>
          <w:p>
            <w:pPr>
              <w:adjustRightInd w:val="0"/>
              <w:snapToGrid w:val="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53.6</w:t>
            </w:r>
          </w:p>
        </w:tc>
        <w:tc>
          <w:tcPr>
            <w:tcW w:w="1259" w:type="pct"/>
            <w:shd w:val="clear" w:color="auto" w:fill="FFFFFF"/>
            <w:vAlign w:val="center"/>
          </w:tcPr>
          <w:p>
            <w:pPr>
              <w:adjustRightInd w:val="0"/>
              <w:snapToGrid w:val="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231,800</w:t>
            </w:r>
          </w:p>
        </w:tc>
        <w:tc>
          <w:tcPr>
            <w:tcW w:w="665" w:type="pct"/>
            <w:shd w:val="clear" w:color="auto" w:fill="FFFFFF"/>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新设立</w:t>
            </w:r>
          </w:p>
        </w:tc>
      </w:tr>
    </w:tbl>
    <w:p>
      <w:pPr>
        <w:tabs>
          <w:tab w:val="left" w:pos="911"/>
        </w:tabs>
        <w:adjustRightInd w:val="0"/>
        <w:snapToGrid w:val="0"/>
        <w:spacing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2、公司2020年合并范围情况</w:t>
      </w:r>
    </w:p>
    <w:p>
      <w:pPr>
        <w:tabs>
          <w:tab w:val="left" w:pos="911"/>
        </w:tabs>
        <w:adjustRightInd w:val="0"/>
        <w:snapToGrid w:val="0"/>
        <w:spacing w:line="360" w:lineRule="auto"/>
        <w:ind w:firstLine="480" w:firstLineChars="200"/>
        <w:jc w:val="both"/>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报告期内，公司以吸收合并方式合并全资子公司江苏宁常镇溧高速公路有限公司，江苏宁常镇溧高速公路有限公司已工商注销登记，公司合并报表范围发生变化。</w:t>
      </w:r>
    </w:p>
    <w:p>
      <w:pPr>
        <w:tabs>
          <w:tab w:val="left" w:pos="911"/>
        </w:tabs>
        <w:adjustRightInd w:val="0"/>
        <w:snapToGrid w:val="0"/>
        <w:spacing w:line="360" w:lineRule="auto"/>
        <w:ind w:firstLine="480" w:firstLineChars="200"/>
        <w:jc w:val="both"/>
        <w:rPr>
          <w:rFonts w:hint="default" w:ascii="Times New Roman" w:hAnsi="Times New Roman" w:eastAsia="宋体" w:cs="Times New Roman"/>
          <w:sz w:val="24"/>
          <w:szCs w:val="24"/>
          <w:highlight w:val="none"/>
          <w:lang w:eastAsia="zh-CN"/>
        </w:rPr>
      </w:pPr>
    </w:p>
    <w:p>
      <w:pPr>
        <w:adjustRightInd w:val="0"/>
        <w:snapToGrid w:val="0"/>
        <w:spacing w:line="360" w:lineRule="auto"/>
        <w:ind w:firstLine="480" w:firstLineChars="200"/>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2020年末不再纳入合并报表的主要子公司情况</w:t>
      </w:r>
    </w:p>
    <w:tbl>
      <w:tblPr>
        <w:tblStyle w:val="11"/>
        <w:tblW w:w="5036" w:type="pct"/>
        <w:tblInd w:w="0" w:type="dxa"/>
        <w:tblLayout w:type="autofit"/>
        <w:tblCellMar>
          <w:top w:w="0" w:type="dxa"/>
          <w:left w:w="0" w:type="dxa"/>
          <w:bottom w:w="0" w:type="dxa"/>
          <w:right w:w="0" w:type="dxa"/>
        </w:tblCellMar>
      </w:tblPr>
      <w:tblGrid>
        <w:gridCol w:w="3058"/>
        <w:gridCol w:w="1760"/>
        <w:gridCol w:w="1886"/>
        <w:gridCol w:w="1666"/>
      </w:tblGrid>
      <w:tr>
        <w:tblPrEx>
          <w:tblCellMar>
            <w:top w:w="0" w:type="dxa"/>
            <w:left w:w="0" w:type="dxa"/>
            <w:bottom w:w="0" w:type="dxa"/>
            <w:right w:w="0" w:type="dxa"/>
          </w:tblCellMar>
        </w:tblPrEx>
        <w:trPr>
          <w:trHeight w:val="458" w:hRule="exact"/>
        </w:trPr>
        <w:tc>
          <w:tcPr>
            <w:tcW w:w="1826" w:type="pct"/>
            <w:tcBorders>
              <w:top w:val="single" w:color="auto" w:sz="4" w:space="0"/>
              <w:left w:val="single" w:color="auto" w:sz="4" w:space="0"/>
              <w:bottom w:val="nil"/>
              <w:right w:val="nil"/>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企业名称</w:t>
            </w:r>
          </w:p>
        </w:tc>
        <w:tc>
          <w:tcPr>
            <w:tcW w:w="1051" w:type="pct"/>
            <w:tcBorders>
              <w:top w:val="single" w:color="auto" w:sz="4" w:space="0"/>
              <w:left w:val="single" w:color="auto" w:sz="4" w:space="0"/>
              <w:bottom w:val="nil"/>
              <w:right w:val="nil"/>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持股比例(％)</w:t>
            </w:r>
          </w:p>
        </w:tc>
        <w:tc>
          <w:tcPr>
            <w:tcW w:w="1126" w:type="pct"/>
            <w:tcBorders>
              <w:top w:val="single" w:color="auto" w:sz="4" w:space="0"/>
              <w:left w:val="single" w:color="auto" w:sz="4" w:space="0"/>
              <w:bottom w:val="nil"/>
              <w:right w:val="nil"/>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注册资本（万元</w:t>
            </w:r>
            <w:r>
              <w:rPr>
                <w:rFonts w:hint="default" w:ascii="Times New Roman" w:hAnsi="Times New Roman" w:eastAsia="宋体" w:cs="Times New Roman"/>
                <w:b/>
                <w:bCs/>
                <w:sz w:val="21"/>
                <w:szCs w:val="21"/>
                <w:highlight w:val="none"/>
                <w:lang w:val="en-US" w:eastAsia="en-US"/>
              </w:rPr>
              <w:t>）</w:t>
            </w:r>
          </w:p>
        </w:tc>
        <w:tc>
          <w:tcPr>
            <w:tcW w:w="995" w:type="pct"/>
            <w:tcBorders>
              <w:top w:val="single" w:color="auto" w:sz="4" w:space="0"/>
              <w:left w:val="single" w:color="auto" w:sz="4" w:space="0"/>
              <w:bottom w:val="nil"/>
              <w:right w:val="single" w:color="auto" w:sz="4" w:space="0"/>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纳入原因</w:t>
            </w:r>
          </w:p>
        </w:tc>
      </w:tr>
      <w:tr>
        <w:tblPrEx>
          <w:tblCellMar>
            <w:top w:w="0" w:type="dxa"/>
            <w:left w:w="0" w:type="dxa"/>
            <w:bottom w:w="0" w:type="dxa"/>
            <w:right w:w="0" w:type="dxa"/>
          </w:tblCellMar>
        </w:tblPrEx>
        <w:trPr>
          <w:trHeight w:val="936" w:hRule="exact"/>
        </w:trPr>
        <w:tc>
          <w:tcPr>
            <w:tcW w:w="1826"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lang w:eastAsia="zh-CN"/>
              </w:rPr>
              <w:t>江苏宁常镇溧高速公路有限公司</w:t>
            </w:r>
          </w:p>
        </w:tc>
        <w:tc>
          <w:tcPr>
            <w:tcW w:w="1051"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100</w:t>
            </w:r>
          </w:p>
        </w:tc>
        <w:tc>
          <w:tcPr>
            <w:tcW w:w="1126"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800,000</w:t>
            </w:r>
          </w:p>
        </w:tc>
        <w:tc>
          <w:tcPr>
            <w:tcW w:w="995"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吸收合并</w:t>
            </w:r>
            <w:r>
              <w:rPr>
                <w:rFonts w:hint="default" w:ascii="Times New Roman" w:hAnsi="Times New Roman" w:eastAsia="宋体" w:cs="Times New Roman"/>
                <w:sz w:val="21"/>
                <w:szCs w:val="21"/>
                <w:highlight w:val="none"/>
                <w:lang w:eastAsia="zh-CN"/>
              </w:rPr>
              <w:t>，已注销</w:t>
            </w:r>
          </w:p>
        </w:tc>
      </w:tr>
    </w:tbl>
    <w:p>
      <w:pPr>
        <w:tabs>
          <w:tab w:val="left" w:pos="911"/>
        </w:tabs>
        <w:adjustRightInd w:val="0"/>
        <w:snapToGrid w:val="0"/>
        <w:spacing w:line="360" w:lineRule="auto"/>
        <w:ind w:firstLine="482" w:firstLineChars="200"/>
        <w:jc w:val="both"/>
        <w:rPr>
          <w:rFonts w:hint="default" w:ascii="Times New Roman" w:hAnsi="Times New Roman" w:eastAsia="宋体" w:cs="Times New Roman"/>
          <w:b/>
          <w:bCs/>
          <w:sz w:val="24"/>
          <w:szCs w:val="24"/>
          <w:highlight w:val="none"/>
          <w:lang w:eastAsia="zh-CN"/>
        </w:rPr>
      </w:pPr>
      <w:r>
        <w:rPr>
          <w:rFonts w:hint="default" w:ascii="Times New Roman" w:hAnsi="Times New Roman" w:eastAsia="宋体" w:cs="Times New Roman"/>
          <w:b/>
          <w:bCs/>
          <w:sz w:val="24"/>
          <w:szCs w:val="24"/>
          <w:highlight w:val="none"/>
          <w:lang w:eastAsia="zh-CN"/>
        </w:rPr>
        <w:t>3、公司2021年合并范围情况</w:t>
      </w:r>
    </w:p>
    <w:p>
      <w:pPr>
        <w:adjustRightInd w:val="0"/>
        <w:snapToGrid w:val="0"/>
        <w:spacing w:line="360" w:lineRule="auto"/>
        <w:ind w:firstLine="480" w:firstLineChars="200"/>
        <w:jc w:val="both"/>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报告期内，公司于2020年1月17日设立全资子公司江苏宁沪国际（香港）有限公司，于2021年2月4日本公司设立全资子公司江苏长江商业能源有限公司，合并报表范围发生变化。</w:t>
      </w:r>
    </w:p>
    <w:p>
      <w:pPr>
        <w:adjustRightInd w:val="0"/>
        <w:snapToGrid w:val="0"/>
        <w:spacing w:line="360" w:lineRule="auto"/>
        <w:ind w:firstLine="480" w:firstLineChars="200"/>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2021年末新纳入合并报表的主要子公司情况</w:t>
      </w:r>
    </w:p>
    <w:tbl>
      <w:tblPr>
        <w:tblStyle w:val="11"/>
        <w:tblW w:w="5030" w:type="pct"/>
        <w:tblInd w:w="0" w:type="dxa"/>
        <w:tblLayout w:type="autofit"/>
        <w:tblCellMar>
          <w:top w:w="0" w:type="dxa"/>
          <w:left w:w="0" w:type="dxa"/>
          <w:bottom w:w="0" w:type="dxa"/>
          <w:right w:w="0" w:type="dxa"/>
        </w:tblCellMar>
      </w:tblPr>
      <w:tblGrid>
        <w:gridCol w:w="3328"/>
        <w:gridCol w:w="1778"/>
        <w:gridCol w:w="1820"/>
        <w:gridCol w:w="1434"/>
      </w:tblGrid>
      <w:tr>
        <w:tblPrEx>
          <w:tblCellMar>
            <w:top w:w="0" w:type="dxa"/>
            <w:left w:w="0" w:type="dxa"/>
            <w:bottom w:w="0" w:type="dxa"/>
            <w:right w:w="0" w:type="dxa"/>
          </w:tblCellMar>
        </w:tblPrEx>
        <w:trPr>
          <w:trHeight w:val="458" w:hRule="exact"/>
        </w:trPr>
        <w:tc>
          <w:tcPr>
            <w:tcW w:w="1990" w:type="pct"/>
            <w:tcBorders>
              <w:top w:val="single" w:color="auto" w:sz="4" w:space="0"/>
              <w:left w:val="single" w:color="auto" w:sz="4" w:space="0"/>
              <w:bottom w:val="nil"/>
              <w:right w:val="nil"/>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企业名称</w:t>
            </w:r>
          </w:p>
        </w:tc>
        <w:tc>
          <w:tcPr>
            <w:tcW w:w="1063" w:type="pct"/>
            <w:tcBorders>
              <w:top w:val="single" w:color="auto" w:sz="4" w:space="0"/>
              <w:left w:val="single" w:color="auto" w:sz="4" w:space="0"/>
              <w:bottom w:val="nil"/>
              <w:right w:val="nil"/>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持股比例(％)</w:t>
            </w:r>
          </w:p>
        </w:tc>
        <w:tc>
          <w:tcPr>
            <w:tcW w:w="1088" w:type="pct"/>
            <w:tcBorders>
              <w:top w:val="single" w:color="auto" w:sz="4" w:space="0"/>
              <w:left w:val="single" w:color="auto" w:sz="4" w:space="0"/>
              <w:bottom w:val="nil"/>
              <w:right w:val="nil"/>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注册资本（万元</w:t>
            </w:r>
            <w:r>
              <w:rPr>
                <w:rFonts w:hint="default" w:ascii="Times New Roman" w:hAnsi="Times New Roman" w:eastAsia="宋体" w:cs="Times New Roman"/>
                <w:b/>
                <w:bCs/>
                <w:sz w:val="21"/>
                <w:szCs w:val="21"/>
                <w:highlight w:val="none"/>
                <w:lang w:val="en-US" w:eastAsia="en-US"/>
              </w:rPr>
              <w:t>）</w:t>
            </w:r>
          </w:p>
        </w:tc>
        <w:tc>
          <w:tcPr>
            <w:tcW w:w="857" w:type="pct"/>
            <w:tcBorders>
              <w:top w:val="single" w:color="auto" w:sz="4" w:space="0"/>
              <w:left w:val="single" w:color="auto" w:sz="4" w:space="0"/>
              <w:bottom w:val="nil"/>
              <w:right w:val="single" w:color="auto" w:sz="4" w:space="0"/>
            </w:tcBorders>
            <w:shd w:val="clear" w:color="auto" w:fill="FFFFFF"/>
            <w:vAlign w:val="bottom"/>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sz w:val="21"/>
                <w:szCs w:val="21"/>
                <w:highlight w:val="none"/>
              </w:rPr>
              <w:t>纳入原因</w:t>
            </w:r>
          </w:p>
        </w:tc>
      </w:tr>
      <w:tr>
        <w:tblPrEx>
          <w:tblCellMar>
            <w:top w:w="0" w:type="dxa"/>
            <w:left w:w="0" w:type="dxa"/>
            <w:bottom w:w="0" w:type="dxa"/>
            <w:right w:w="0" w:type="dxa"/>
          </w:tblCellMar>
        </w:tblPrEx>
        <w:trPr>
          <w:trHeight w:val="568" w:hRule="atLeast"/>
        </w:trPr>
        <w:tc>
          <w:tcPr>
            <w:tcW w:w="1990"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lang w:eastAsia="zh-CN"/>
              </w:rPr>
              <w:t>江苏宁沪国际（香港）有限公司</w:t>
            </w:r>
          </w:p>
        </w:tc>
        <w:tc>
          <w:tcPr>
            <w:tcW w:w="1063"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100</w:t>
            </w:r>
          </w:p>
        </w:tc>
        <w:tc>
          <w:tcPr>
            <w:tcW w:w="1088"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13,000</w:t>
            </w:r>
          </w:p>
        </w:tc>
        <w:tc>
          <w:tcPr>
            <w:tcW w:w="85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highlight w:val="none"/>
              </w:rPr>
              <w:t>投资设立</w:t>
            </w:r>
          </w:p>
        </w:tc>
      </w:tr>
      <w:tr>
        <w:tblPrEx>
          <w:tblCellMar>
            <w:top w:w="0" w:type="dxa"/>
            <w:left w:w="0" w:type="dxa"/>
            <w:bottom w:w="0" w:type="dxa"/>
            <w:right w:w="0" w:type="dxa"/>
          </w:tblCellMar>
        </w:tblPrEx>
        <w:trPr>
          <w:trHeight w:val="568" w:hRule="atLeast"/>
        </w:trPr>
        <w:tc>
          <w:tcPr>
            <w:tcW w:w="1990"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江苏长江商业能源有限公司</w:t>
            </w:r>
          </w:p>
        </w:tc>
        <w:tc>
          <w:tcPr>
            <w:tcW w:w="1063"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1</w:t>
            </w:r>
            <w:r>
              <w:rPr>
                <w:rFonts w:hint="default" w:ascii="Times New Roman" w:hAnsi="Times New Roman" w:eastAsia="宋体" w:cs="Times New Roman"/>
                <w:sz w:val="21"/>
                <w:szCs w:val="21"/>
                <w:highlight w:val="none"/>
              </w:rPr>
              <w:t>00</w:t>
            </w:r>
          </w:p>
        </w:tc>
        <w:tc>
          <w:tcPr>
            <w:tcW w:w="1088"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10,000</w:t>
            </w:r>
          </w:p>
        </w:tc>
        <w:tc>
          <w:tcPr>
            <w:tcW w:w="85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投资设立</w:t>
            </w:r>
          </w:p>
        </w:tc>
      </w:tr>
    </w:tbl>
    <w:p>
      <w:pPr>
        <w:spacing w:line="360" w:lineRule="auto"/>
        <w:ind w:firstLine="482"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4</w:t>
      </w:r>
      <w:r>
        <w:rPr>
          <w:rFonts w:hint="default" w:ascii="Times New Roman" w:hAnsi="Times New Roman" w:eastAsia="宋体" w:cs="Times New Roman"/>
          <w:b/>
          <w:bCs/>
          <w:sz w:val="24"/>
          <w:szCs w:val="24"/>
          <w:highlight w:val="none"/>
          <w:lang w:eastAsia="zh-CN"/>
        </w:rPr>
        <w:t>、</w:t>
      </w:r>
      <w:r>
        <w:rPr>
          <w:rFonts w:hint="default" w:ascii="Times New Roman" w:hAnsi="Times New Roman" w:eastAsia="宋体" w:cs="Times New Roman"/>
          <w:b/>
          <w:bCs/>
          <w:sz w:val="24"/>
          <w:szCs w:val="24"/>
          <w:highlight w:val="none"/>
        </w:rPr>
        <w:t>公司2022年1-3月合并范围情况</w:t>
      </w:r>
    </w:p>
    <w:p>
      <w:pPr>
        <w:tabs>
          <w:tab w:val="left" w:pos="911"/>
        </w:tabs>
        <w:adjustRightInd w:val="0"/>
        <w:snapToGrid w:val="0"/>
        <w:spacing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highlight w:val="none"/>
          <w:lang w:eastAsia="zh-CN"/>
        </w:rPr>
        <w:t>截至2022年3月末，公司合并范围较2021年末无变化。</w:t>
      </w:r>
    </w:p>
    <w:p>
      <w:pPr>
        <w:pStyle w:val="28"/>
        <w:shd w:val="clear" w:color="auto" w:fill="auto"/>
        <w:adjustRightInd w:val="0"/>
        <w:snapToGrid w:val="0"/>
        <w:spacing w:line="360" w:lineRule="auto"/>
        <w:ind w:firstLine="482" w:firstLineChars="200"/>
        <w:outlineLvl w:val="1"/>
        <w:rPr>
          <w:rStyle w:val="27"/>
          <w:rFonts w:hint="default" w:ascii="Times New Roman" w:hAnsi="Times New Roman" w:eastAsia="宋体" w:cs="Times New Roman"/>
          <w:b/>
          <w:bCs/>
          <w:color w:val="000000"/>
          <w:sz w:val="24"/>
          <w:szCs w:val="24"/>
          <w:highlight w:val="none"/>
          <w:lang w:val="zh-TW"/>
        </w:rPr>
      </w:pPr>
      <w:r>
        <w:rPr>
          <w:rStyle w:val="27"/>
          <w:rFonts w:hint="default" w:ascii="Times New Roman" w:hAnsi="Times New Roman" w:eastAsia="宋体" w:cs="Times New Roman"/>
          <w:b/>
          <w:bCs/>
          <w:color w:val="000000"/>
          <w:sz w:val="24"/>
          <w:szCs w:val="24"/>
          <w:highlight w:val="none"/>
          <w:lang w:val="zh-TW"/>
        </w:rPr>
        <w:t>（二）公司最近三年及一期的资产负债表、利润表及现金流量表</w:t>
      </w:r>
    </w:p>
    <w:p>
      <w:pPr>
        <w:pStyle w:val="24"/>
        <w:shd w:val="clear" w:color="auto" w:fill="auto"/>
        <w:adjustRightInd w:val="0"/>
        <w:snapToGrid w:val="0"/>
        <w:spacing w:before="0" w:line="360" w:lineRule="auto"/>
        <w:ind w:firstLine="480" w:firstLineChars="20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公司2019年度及2020年度的财务报告经德勤华永会计师事务所（特殊普通合伙）审计，并分别出具了编号为德师报（审）字[2020]第P02470号、德师报(审)字(21)第P01576号标准无保留意见的审计报告。公司2021年度的财务报告经毕马威华振会计师事务所（特殊普通合伙）审计，出具了编号为毕马威华振审字第2202498号标准无保留意见的审计报告。如无特别说明，以下引用的2019年度、2020年度、2021年度及2022年</w:t>
      </w:r>
      <w:r>
        <w:rPr>
          <w:rStyle w:val="23"/>
          <w:rFonts w:hint="default" w:ascii="Times New Roman" w:hAnsi="Times New Roman" w:eastAsia="宋体" w:cs="Times New Roman"/>
          <w:color w:val="000000"/>
          <w:sz w:val="24"/>
          <w:szCs w:val="24"/>
          <w:highlight w:val="none"/>
        </w:rPr>
        <w:t>1-3</w:t>
      </w:r>
      <w:r>
        <w:rPr>
          <w:rStyle w:val="23"/>
          <w:rFonts w:hint="default" w:ascii="Times New Roman" w:hAnsi="Times New Roman" w:eastAsia="宋体" w:cs="Times New Roman"/>
          <w:color w:val="000000"/>
          <w:sz w:val="24"/>
          <w:szCs w:val="24"/>
          <w:highlight w:val="none"/>
          <w:lang w:val="zh-TW"/>
        </w:rPr>
        <w:t>月财务数据来源于公司经审计的2019年度</w:t>
      </w:r>
      <w:r>
        <w:rPr>
          <w:rStyle w:val="37"/>
          <w:rFonts w:hint="default" w:ascii="Times New Roman" w:hAnsi="Times New Roman" w:eastAsia="宋体" w:cs="Times New Roman"/>
          <w:color w:val="000000"/>
          <w:sz w:val="24"/>
          <w:szCs w:val="24"/>
          <w:highlight w:val="none"/>
          <w:lang w:val="zh-TW"/>
        </w:rPr>
        <w:t>、</w:t>
      </w:r>
      <w:r>
        <w:rPr>
          <w:rStyle w:val="23"/>
          <w:rFonts w:hint="default" w:ascii="Times New Roman" w:hAnsi="Times New Roman" w:eastAsia="宋体" w:cs="Times New Roman"/>
          <w:color w:val="000000"/>
          <w:sz w:val="24"/>
          <w:szCs w:val="24"/>
          <w:highlight w:val="none"/>
          <w:lang w:val="zh-TW"/>
        </w:rPr>
        <w:t>2020年度</w:t>
      </w:r>
      <w:r>
        <w:rPr>
          <w:rStyle w:val="37"/>
          <w:rFonts w:hint="default" w:ascii="Times New Roman" w:hAnsi="Times New Roman" w:eastAsia="宋体" w:cs="Times New Roman"/>
          <w:color w:val="000000"/>
          <w:sz w:val="24"/>
          <w:szCs w:val="24"/>
          <w:highlight w:val="none"/>
          <w:lang w:val="zh-TW"/>
        </w:rPr>
        <w:t>、</w:t>
      </w:r>
      <w:r>
        <w:rPr>
          <w:rStyle w:val="23"/>
          <w:rFonts w:hint="default" w:ascii="Times New Roman" w:hAnsi="Times New Roman" w:eastAsia="宋体" w:cs="Times New Roman"/>
          <w:color w:val="000000"/>
          <w:sz w:val="24"/>
          <w:szCs w:val="24"/>
          <w:highlight w:val="none"/>
          <w:lang w:val="zh-TW"/>
        </w:rPr>
        <w:t>2021年度审计报告及未经审计的2022年</w:t>
      </w:r>
      <w:r>
        <w:rPr>
          <w:rStyle w:val="23"/>
          <w:rFonts w:hint="default" w:ascii="Times New Roman" w:hAnsi="Times New Roman" w:eastAsia="宋体" w:cs="Times New Roman"/>
          <w:color w:val="000000"/>
          <w:sz w:val="24"/>
          <w:szCs w:val="24"/>
          <w:highlight w:val="none"/>
        </w:rPr>
        <w:t>1-3</w:t>
      </w:r>
      <w:r>
        <w:rPr>
          <w:rStyle w:val="23"/>
          <w:rFonts w:hint="default" w:ascii="Times New Roman" w:hAnsi="Times New Roman" w:eastAsia="宋体" w:cs="Times New Roman"/>
          <w:color w:val="000000"/>
          <w:sz w:val="24"/>
          <w:szCs w:val="24"/>
          <w:highlight w:val="none"/>
          <w:lang w:val="zh-TW"/>
        </w:rPr>
        <w:t>月财务报表。</w:t>
      </w:r>
    </w:p>
    <w:p>
      <w:pPr>
        <w:pStyle w:val="24"/>
        <w:shd w:val="clear" w:color="auto" w:fill="auto"/>
        <w:adjustRightInd w:val="0"/>
        <w:snapToGrid w:val="0"/>
        <w:spacing w:before="0" w:line="360" w:lineRule="auto"/>
        <w:ind w:firstLine="482" w:firstLineChars="200"/>
        <w:jc w:val="both"/>
        <w:rPr>
          <w:rFonts w:hint="default" w:ascii="Times New Roman" w:hAnsi="Times New Roman" w:eastAsia="宋体" w:cs="Times New Roman"/>
          <w:b/>
          <w:bCs/>
          <w:sz w:val="24"/>
          <w:szCs w:val="24"/>
          <w:highlight w:val="none"/>
        </w:rPr>
      </w:pPr>
      <w:bookmarkStart w:id="6" w:name="_Hlk100192143"/>
      <w:r>
        <w:rPr>
          <w:rStyle w:val="23"/>
          <w:rFonts w:hint="default" w:ascii="Times New Roman" w:hAnsi="Times New Roman" w:eastAsia="宋体" w:cs="Times New Roman"/>
          <w:b/>
          <w:bCs/>
          <w:color w:val="000000"/>
          <w:sz w:val="24"/>
          <w:szCs w:val="24"/>
          <w:highlight w:val="none"/>
          <w:lang w:val="zh-TW"/>
        </w:rPr>
        <w:t>1、公司最近三年及一期的合并财务报表</w:t>
      </w:r>
    </w:p>
    <w:p>
      <w:pPr>
        <w:pStyle w:val="24"/>
        <w:shd w:val="clear" w:color="auto" w:fill="auto"/>
        <w:adjustRightInd w:val="0"/>
        <w:snapToGrid w:val="0"/>
        <w:spacing w:before="0" w:line="360" w:lineRule="auto"/>
        <w:ind w:firstLine="480" w:firstLineChars="20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（1）最近三年及一期合并资产负债表</w:t>
      </w:r>
    </w:p>
    <w:p>
      <w:pPr>
        <w:autoSpaceDE w:val="0"/>
        <w:autoSpaceDN w:val="0"/>
        <w:adjustRightInd w:val="0"/>
        <w:ind w:firstLine="480" w:firstLineChars="200"/>
        <w:jc w:val="right"/>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单位：万元</w:t>
      </w:r>
    </w:p>
    <w:tbl>
      <w:tblPr>
        <w:tblStyle w:val="11"/>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661"/>
        <w:gridCol w:w="1696"/>
        <w:gridCol w:w="1696"/>
        <w:gridCol w:w="1395"/>
        <w:gridCol w:w="13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blHeader/>
          <w:jc w:val="center"/>
        </w:trPr>
        <w:tc>
          <w:tcPr>
            <w:tcW w:w="2661" w:type="dxa"/>
            <w:vAlign w:val="center"/>
          </w:tcPr>
          <w:p>
            <w:pPr>
              <w:adjustRightInd w:val="0"/>
              <w:jc w:val="center"/>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项目</w:t>
            </w:r>
          </w:p>
        </w:tc>
        <w:tc>
          <w:tcPr>
            <w:tcW w:w="1696" w:type="dxa"/>
            <w:vAlign w:val="center"/>
          </w:tcPr>
          <w:p>
            <w:pPr>
              <w:adjustRightInd w:val="0"/>
              <w:jc w:val="center"/>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lang w:eastAsia="zh-CN"/>
              </w:rPr>
              <w:t>2</w:t>
            </w:r>
            <w:r>
              <w:rPr>
                <w:rFonts w:hint="eastAsia" w:ascii="宋体" w:hAnsi="宋体" w:eastAsia="宋体" w:cs="宋体"/>
                <w:b/>
                <w:snapToGrid w:val="0"/>
                <w:sz w:val="21"/>
                <w:szCs w:val="21"/>
                <w:highlight w:val="none"/>
              </w:rPr>
              <w:t>022年3月末</w:t>
            </w:r>
          </w:p>
        </w:tc>
        <w:tc>
          <w:tcPr>
            <w:tcW w:w="1696" w:type="dxa"/>
            <w:vAlign w:val="center"/>
          </w:tcPr>
          <w:p>
            <w:pPr>
              <w:adjustRightInd w:val="0"/>
              <w:jc w:val="center"/>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2021年末</w:t>
            </w:r>
          </w:p>
        </w:tc>
        <w:tc>
          <w:tcPr>
            <w:tcW w:w="1395" w:type="dxa"/>
            <w:vAlign w:val="center"/>
          </w:tcPr>
          <w:p>
            <w:pPr>
              <w:adjustRightInd w:val="0"/>
              <w:jc w:val="center"/>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2020年末</w:t>
            </w:r>
          </w:p>
        </w:tc>
        <w:tc>
          <w:tcPr>
            <w:tcW w:w="1397" w:type="dxa"/>
            <w:vAlign w:val="center"/>
          </w:tcPr>
          <w:p>
            <w:pPr>
              <w:adjustRightInd w:val="0"/>
              <w:jc w:val="center"/>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2019年末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流动资产：</w:t>
            </w: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395" w:type="dxa"/>
            <w:vAlign w:val="center"/>
          </w:tcPr>
          <w:p>
            <w:pPr>
              <w:adjustRightInd w:val="0"/>
              <w:jc w:val="right"/>
              <w:rPr>
                <w:rFonts w:hint="eastAsia" w:ascii="宋体" w:hAnsi="宋体" w:eastAsia="宋体" w:cs="宋体"/>
                <w:snapToGrid w:val="0"/>
                <w:sz w:val="21"/>
                <w:szCs w:val="21"/>
                <w:highlight w:val="none"/>
              </w:rPr>
            </w:pPr>
          </w:p>
        </w:tc>
        <w:tc>
          <w:tcPr>
            <w:tcW w:w="1397" w:type="dxa"/>
            <w:vAlign w:val="center"/>
          </w:tcPr>
          <w:p>
            <w:pPr>
              <w:adjustRightInd w:val="0"/>
              <w:jc w:val="right"/>
              <w:rPr>
                <w:rFonts w:hint="eastAsia" w:ascii="宋体" w:hAnsi="宋体" w:eastAsia="宋体" w:cs="宋体"/>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货币资金</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48,833.65</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49,612.73</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38,671.27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50,344.37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交易性金融资产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311,897.12</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264,651.87</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153,381.85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67,693.52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应收票据</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1,594.00</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1,189.00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1,085.95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应收账款</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27,217.57</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44,207.49</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30,907.26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22,428.52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预付款项</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3,329.07</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865.07</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2,190.75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2,686.51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其他应收款(合计)</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8,107.32</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7,630.22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7,432.27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5,119.99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其中：应收股利</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499.00</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499.00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499.00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499.00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ind w:firstLine="525" w:firstLineChars="25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应收利息</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ind w:firstLine="525" w:firstLineChars="25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其他应收款</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7,608.32</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7,131.22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6,933.28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4,620.99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存货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372,287.56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388,920.14</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414,846.00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416,456.73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一年内到期的非流动资产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其他流动资产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77,354.93</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87,726.34</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105,205.03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37,934.10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流动资产合计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850,621.21</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844,802.86</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753,720.38 </w:t>
            </w:r>
          </w:p>
        </w:tc>
        <w:tc>
          <w:tcPr>
            <w:tcW w:w="1397"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602,663.73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非流动资产：</w:t>
            </w: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395" w:type="dxa"/>
            <w:vAlign w:val="center"/>
          </w:tcPr>
          <w:p>
            <w:pPr>
              <w:adjustRightInd w:val="0"/>
              <w:jc w:val="right"/>
              <w:rPr>
                <w:rFonts w:hint="eastAsia" w:ascii="宋体" w:hAnsi="宋体" w:eastAsia="宋体" w:cs="宋体"/>
                <w:snapToGrid w:val="0"/>
                <w:sz w:val="21"/>
                <w:szCs w:val="21"/>
                <w:highlight w:val="none"/>
              </w:rPr>
            </w:pPr>
          </w:p>
        </w:tc>
        <w:tc>
          <w:tcPr>
            <w:tcW w:w="1397" w:type="dxa"/>
            <w:vAlign w:val="center"/>
          </w:tcPr>
          <w:p>
            <w:pPr>
              <w:adjustRightInd w:val="0"/>
              <w:jc w:val="right"/>
              <w:rPr>
                <w:rFonts w:hint="eastAsia" w:ascii="宋体" w:hAnsi="宋体" w:eastAsia="宋体" w:cs="宋体"/>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可供出售金融资产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其他权益工具投资</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669,552.40</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580,558.71</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547,102.60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565,546.86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其他非流动金融资产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308,442.84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300,414.19</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203,919.26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144,617.57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长期股权投资</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979,323.80</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968,712.60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713,052.71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693,925.15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投资性房地产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9,912.36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5,670.95</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1,758.19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1,839.45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固定资产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261,435.46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267,617.08</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204,823.78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190,736.27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在建工程</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28,167.94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26,219.47</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1,528,071.69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1,450,173.45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无形资产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3,689,213.01</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3,706,772.66</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2,129,881.81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1,892,799.95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使用权资产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1,487.67</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1,664.85</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1,889.31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63.74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长期待摊费用</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215.77</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268.02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444.39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1,141.86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递延所得税资产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17,568.69</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17,213.88</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23,403.95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17,501.27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其他非流动资产</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46,977.18</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46,286.79</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1,487.98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1,495.56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非流动资产合计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6,012,297.11</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5,921,399.21</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5,355,835.65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4,959,841.13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资产总计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6,862,918.32</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6,766,202.07</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6,109,556.04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5,562,504.86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流动负债：</w:t>
            </w: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395" w:type="dxa"/>
            <w:vAlign w:val="center"/>
          </w:tcPr>
          <w:p>
            <w:pPr>
              <w:adjustRightInd w:val="0"/>
              <w:jc w:val="right"/>
              <w:rPr>
                <w:rFonts w:hint="eastAsia" w:ascii="宋体" w:hAnsi="宋体" w:eastAsia="宋体" w:cs="宋体"/>
                <w:snapToGrid w:val="0"/>
                <w:sz w:val="21"/>
                <w:szCs w:val="21"/>
                <w:highlight w:val="none"/>
              </w:rPr>
            </w:pPr>
          </w:p>
        </w:tc>
        <w:tc>
          <w:tcPr>
            <w:tcW w:w="1397" w:type="dxa"/>
            <w:vAlign w:val="center"/>
          </w:tcPr>
          <w:p>
            <w:pPr>
              <w:adjustRightInd w:val="0"/>
              <w:jc w:val="right"/>
              <w:rPr>
                <w:rFonts w:hint="eastAsia" w:ascii="宋体" w:hAnsi="宋体" w:eastAsia="宋体" w:cs="宋体"/>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短期借款</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146,848.79</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107,714.52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147,510.34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197,270.85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应付票据</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12,840.00</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10,030.00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3,840.00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应付账款</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193,598.96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232,889.80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170,158.21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126,241.48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预收款项</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1,841.94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1,578.25</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859.03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1,069.89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合同负债</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24,777.84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42,756.12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87,639.19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113,415.09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应付职工薪酬</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371.98</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301.47</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119.59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156.31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应交税费</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40,840.77</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41,362.28</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26,017.16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22,545.88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其他应付款</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27,231.15</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25,300.99</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24,022.62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26,104.84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其中：应付利息</w:t>
            </w:r>
          </w:p>
        </w:tc>
        <w:tc>
          <w:tcPr>
            <w:tcW w:w="1696" w:type="dxa"/>
            <w:vAlign w:val="center"/>
          </w:tcPr>
          <w:p>
            <w:pPr>
              <w:adjustRightInd w:val="0"/>
              <w:jc w:val="right"/>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应付股利</w:t>
            </w:r>
          </w:p>
        </w:tc>
        <w:tc>
          <w:tcPr>
            <w:tcW w:w="1696" w:type="dxa"/>
            <w:vAlign w:val="center"/>
          </w:tcPr>
          <w:p>
            <w:pPr>
              <w:adjustRightInd w:val="0"/>
              <w:jc w:val="right"/>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9,554.34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9,554.34</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9,337.92</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9,719.75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一年内到期的非流动负债</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68,755.76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67,804.33</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110,345.62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316,114.52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其他流动负债</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712,555.14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767,196.56</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832,798.73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509,208.37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流动负债合计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1,229,662.33</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1,296,934.32</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1,403,310.50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1,312,127.25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非流动负债：</w:t>
            </w: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395" w:type="dxa"/>
            <w:vAlign w:val="center"/>
          </w:tcPr>
          <w:p>
            <w:pPr>
              <w:adjustRightInd w:val="0"/>
              <w:jc w:val="right"/>
              <w:rPr>
                <w:rFonts w:hint="eastAsia" w:ascii="宋体" w:hAnsi="宋体" w:eastAsia="宋体" w:cs="宋体"/>
                <w:snapToGrid w:val="0"/>
                <w:sz w:val="21"/>
                <w:szCs w:val="21"/>
                <w:highlight w:val="none"/>
              </w:rPr>
            </w:pPr>
          </w:p>
        </w:tc>
        <w:tc>
          <w:tcPr>
            <w:tcW w:w="1397" w:type="dxa"/>
            <w:vAlign w:val="center"/>
          </w:tcPr>
          <w:p>
            <w:pPr>
              <w:adjustRightInd w:val="0"/>
              <w:jc w:val="right"/>
              <w:rPr>
                <w:rFonts w:hint="eastAsia" w:ascii="宋体" w:hAnsi="宋体" w:eastAsia="宋体" w:cs="宋体"/>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长期借款</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1,302,782.38</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1,302,869.75</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1,154,538.17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833,547.54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应付债券</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577,887.83</w:t>
            </w:r>
          </w:p>
        </w:tc>
        <w:tc>
          <w:tcPr>
            <w:tcW w:w="1696" w:type="dxa"/>
            <w:vAlign w:val="center"/>
          </w:tcPr>
          <w:p>
            <w:pPr>
              <w:tabs>
                <w:tab w:val="left" w:pos="1390"/>
              </w:tabs>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577,741.90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198,460.64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99,746.09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租赁负债</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751.13</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792.00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1,183.56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递延收益</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9,699.86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9,950.00</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11,222.73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4,117.72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预计负债</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5,411.58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3,021.16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递延所得税负债</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63,816.36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41,924.82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30,501.90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41,661.39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非流动负债合计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1,954,937.56</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1,933,278.46</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1,401,318.57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982,093.90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负债合计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3,184,599.89</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3,230,212.77</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2,804,629.07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2,294,221.15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所有者权益：</w:t>
            </w: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696" w:type="dxa"/>
            <w:vAlign w:val="center"/>
          </w:tcPr>
          <w:p>
            <w:pPr>
              <w:adjustRightInd w:val="0"/>
              <w:jc w:val="right"/>
              <w:rPr>
                <w:rFonts w:hint="eastAsia" w:ascii="宋体" w:hAnsi="宋体" w:eastAsia="宋体" w:cs="宋体"/>
                <w:snapToGrid w:val="0"/>
                <w:sz w:val="21"/>
                <w:szCs w:val="21"/>
                <w:highlight w:val="none"/>
              </w:rPr>
            </w:pPr>
          </w:p>
        </w:tc>
        <w:tc>
          <w:tcPr>
            <w:tcW w:w="1395" w:type="dxa"/>
            <w:vAlign w:val="center"/>
          </w:tcPr>
          <w:p>
            <w:pPr>
              <w:adjustRightInd w:val="0"/>
              <w:jc w:val="right"/>
              <w:rPr>
                <w:rFonts w:hint="eastAsia" w:ascii="宋体" w:hAnsi="宋体" w:eastAsia="宋体" w:cs="宋体"/>
                <w:snapToGrid w:val="0"/>
                <w:sz w:val="21"/>
                <w:szCs w:val="21"/>
                <w:highlight w:val="none"/>
              </w:rPr>
            </w:pPr>
          </w:p>
        </w:tc>
        <w:tc>
          <w:tcPr>
            <w:tcW w:w="1397" w:type="dxa"/>
            <w:vAlign w:val="center"/>
          </w:tcPr>
          <w:p>
            <w:pPr>
              <w:adjustRightInd w:val="0"/>
              <w:jc w:val="right"/>
              <w:rPr>
                <w:rFonts w:hint="eastAsia" w:ascii="宋体" w:hAnsi="宋体" w:eastAsia="宋体" w:cs="宋体"/>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股本</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503,774.75</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503,774.75</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503,774.75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503,774.75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资本公积</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1,050,292.56</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1,050,292.56</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1,050,283.40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1,050,191.32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其他综合收益</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157,523.97</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93,133.56</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80,695.50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129,174.81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盈余公积</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383,236.21</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383,236.21</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365,040.53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355,116.70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一般风险准备</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584.39</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650.51</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348.77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14.19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未分配利润</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1,071,537.04</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991,940.78</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820,853.17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816,426.60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lang w:eastAsia="zh-CN"/>
              </w:rPr>
            </w:pPr>
            <w:r>
              <w:rPr>
                <w:rFonts w:hint="eastAsia" w:ascii="宋体" w:hAnsi="宋体" w:eastAsia="宋体" w:cs="宋体"/>
                <w:b/>
                <w:snapToGrid w:val="0"/>
                <w:sz w:val="21"/>
                <w:szCs w:val="21"/>
                <w:highlight w:val="none"/>
                <w:lang w:eastAsia="zh-CN"/>
              </w:rPr>
              <w:t>归属于母公司</w:t>
            </w:r>
          </w:p>
          <w:p>
            <w:pPr>
              <w:adjustRightInd w:val="0"/>
              <w:rPr>
                <w:rFonts w:hint="eastAsia" w:ascii="宋体" w:hAnsi="宋体" w:eastAsia="宋体" w:cs="宋体"/>
                <w:b/>
                <w:snapToGrid w:val="0"/>
                <w:sz w:val="21"/>
                <w:szCs w:val="21"/>
                <w:highlight w:val="none"/>
                <w:lang w:eastAsia="zh-CN"/>
              </w:rPr>
            </w:pPr>
            <w:r>
              <w:rPr>
                <w:rFonts w:hint="eastAsia" w:ascii="宋体" w:hAnsi="宋体" w:eastAsia="宋体" w:cs="宋体"/>
                <w:b/>
                <w:snapToGrid w:val="0"/>
                <w:sz w:val="21"/>
                <w:szCs w:val="21"/>
                <w:highlight w:val="none"/>
                <w:lang w:eastAsia="zh-CN"/>
              </w:rPr>
              <w:t>股东权益合计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3,166,948.93</w:t>
            </w:r>
          </w:p>
        </w:tc>
        <w:tc>
          <w:tcPr>
            <w:tcW w:w="1696"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3,023,028.38</w:t>
            </w:r>
          </w:p>
        </w:tc>
        <w:tc>
          <w:tcPr>
            <w:tcW w:w="1395"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2,820,996.11</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2,854,698.36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少数股东权益</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eastAsia="zh-CN"/>
              </w:rPr>
              <w:t>511,369.50</w:t>
            </w:r>
          </w:p>
        </w:tc>
        <w:tc>
          <w:tcPr>
            <w:tcW w:w="1696"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512,960.92</w:t>
            </w:r>
          </w:p>
        </w:tc>
        <w:tc>
          <w:tcPr>
            <w:tcW w:w="1395"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 xml:space="preserve">483,930.85 </w:t>
            </w:r>
          </w:p>
        </w:tc>
        <w:tc>
          <w:tcPr>
            <w:tcW w:w="1397" w:type="dxa"/>
            <w:vAlign w:val="center"/>
          </w:tcPr>
          <w:p>
            <w:pPr>
              <w:adjustRightInd w:val="0"/>
              <w:jc w:val="righ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413,585.35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股东权益合计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3,678,318.44</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3,535,989.30</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3,304,926.96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3,268,283.71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61" w:type="dxa"/>
            <w:vAlign w:val="center"/>
          </w:tcPr>
          <w:p>
            <w:pPr>
              <w:adjustRightInd w:val="0"/>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负债和股东权益总计</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lang w:eastAsia="zh-CN"/>
              </w:rPr>
              <w:t>6,862,918.32</w:t>
            </w:r>
          </w:p>
        </w:tc>
        <w:tc>
          <w:tcPr>
            <w:tcW w:w="1696"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6,766,202.07</w:t>
            </w:r>
          </w:p>
        </w:tc>
        <w:tc>
          <w:tcPr>
            <w:tcW w:w="1395" w:type="dxa"/>
            <w:vAlign w:val="center"/>
          </w:tcPr>
          <w:p>
            <w:pPr>
              <w:adjustRightInd w:val="0"/>
              <w:jc w:val="right"/>
              <w:rPr>
                <w:rFonts w:hint="eastAsia" w:ascii="宋体" w:hAnsi="宋体" w:eastAsia="宋体" w:cs="宋体"/>
                <w:b/>
                <w:bCs/>
                <w:snapToGrid w:val="0"/>
                <w:sz w:val="21"/>
                <w:szCs w:val="21"/>
                <w:highlight w:val="none"/>
              </w:rPr>
            </w:pPr>
            <w:r>
              <w:rPr>
                <w:rFonts w:hint="eastAsia" w:ascii="宋体" w:hAnsi="宋体" w:eastAsia="宋体" w:cs="宋体"/>
                <w:b/>
                <w:bCs/>
                <w:snapToGrid w:val="0"/>
                <w:sz w:val="21"/>
                <w:szCs w:val="21"/>
                <w:highlight w:val="none"/>
              </w:rPr>
              <w:t xml:space="preserve">6,109,556.04 </w:t>
            </w:r>
          </w:p>
        </w:tc>
        <w:tc>
          <w:tcPr>
            <w:tcW w:w="1397" w:type="dxa"/>
            <w:vAlign w:val="center"/>
          </w:tcPr>
          <w:p>
            <w:pPr>
              <w:adjustRightInd w:val="0"/>
              <w:jc w:val="righ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5,562,504.86</w:t>
            </w:r>
          </w:p>
        </w:tc>
      </w:tr>
    </w:tbl>
    <w:p>
      <w:pPr>
        <w:pStyle w:val="39"/>
        <w:shd w:val="clear" w:color="auto" w:fill="auto"/>
        <w:spacing w:line="200" w:lineRule="exact"/>
        <w:ind w:left="8080"/>
        <w:rPr>
          <w:rFonts w:hint="default" w:ascii="Times New Roman" w:hAnsi="Times New Roman" w:eastAsia="仿宋_GB2312" w:cs="Times New Roman"/>
          <w:sz w:val="21"/>
          <w:szCs w:val="21"/>
          <w:highlight w:val="none"/>
        </w:rPr>
      </w:pPr>
    </w:p>
    <w:p>
      <w:pPr>
        <w:pStyle w:val="24"/>
        <w:shd w:val="clear" w:color="auto" w:fill="auto"/>
        <w:adjustRightInd w:val="0"/>
        <w:snapToGrid w:val="0"/>
        <w:spacing w:before="0" w:line="360" w:lineRule="auto"/>
        <w:ind w:firstLine="0"/>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（2）最近三年及一期合并利润表</w:t>
      </w:r>
    </w:p>
    <w:p>
      <w:pPr>
        <w:autoSpaceDE w:val="0"/>
        <w:autoSpaceDN w:val="0"/>
        <w:adjustRightInd w:val="0"/>
        <w:ind w:firstLine="480" w:firstLineChars="200"/>
        <w:jc w:val="right"/>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单位：万元</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108" w:type="dxa"/>
          <w:bottom w:w="57" w:type="dxa"/>
          <w:right w:w="108" w:type="dxa"/>
        </w:tblCellMar>
      </w:tblPr>
      <w:tblGrid>
        <w:gridCol w:w="2671"/>
        <w:gridCol w:w="1546"/>
        <w:gridCol w:w="1546"/>
        <w:gridCol w:w="1433"/>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blHeader/>
          <w:jc w:val="center"/>
        </w:trPr>
        <w:tc>
          <w:tcPr>
            <w:tcW w:w="1570" w:type="pct"/>
            <w:vAlign w:val="center"/>
          </w:tcPr>
          <w:p>
            <w:pPr>
              <w:adjustRightInd w:val="0"/>
              <w:jc w:val="center"/>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项目</w:t>
            </w:r>
          </w:p>
        </w:tc>
        <w:tc>
          <w:tcPr>
            <w:tcW w:w="910" w:type="pct"/>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lang w:eastAsia="zh-CN"/>
              </w:rPr>
              <w:t>2</w:t>
            </w:r>
            <w:r>
              <w:rPr>
                <w:rFonts w:hint="default" w:ascii="Times New Roman" w:hAnsi="Times New Roman" w:eastAsia="宋体" w:cs="Times New Roman"/>
                <w:b/>
                <w:snapToGrid w:val="0"/>
                <w:sz w:val="21"/>
                <w:szCs w:val="21"/>
                <w:highlight w:val="none"/>
              </w:rPr>
              <w:t>022年</w:t>
            </w:r>
            <w:r>
              <w:rPr>
                <w:rFonts w:hint="default" w:ascii="Times New Roman" w:hAnsi="Times New Roman" w:eastAsia="宋体" w:cs="Times New Roman"/>
                <w:b/>
                <w:snapToGrid w:val="0"/>
                <w:sz w:val="21"/>
                <w:szCs w:val="21"/>
                <w:highlight w:val="none"/>
                <w:lang w:eastAsia="zh-CN"/>
              </w:rPr>
              <w:t>1-</w:t>
            </w:r>
            <w:r>
              <w:rPr>
                <w:rFonts w:hint="default" w:ascii="Times New Roman" w:hAnsi="Times New Roman" w:eastAsia="宋体" w:cs="Times New Roman"/>
                <w:b/>
                <w:snapToGrid w:val="0"/>
                <w:sz w:val="21"/>
                <w:szCs w:val="21"/>
                <w:highlight w:val="none"/>
              </w:rPr>
              <w:t>3月</w:t>
            </w:r>
          </w:p>
        </w:tc>
        <w:tc>
          <w:tcPr>
            <w:tcW w:w="910" w:type="pct"/>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2021年度</w:t>
            </w:r>
          </w:p>
        </w:tc>
        <w:tc>
          <w:tcPr>
            <w:tcW w:w="843" w:type="pct"/>
            <w:vAlign w:val="center"/>
          </w:tcPr>
          <w:p>
            <w:pPr>
              <w:adjustRightInd w:val="0"/>
              <w:jc w:val="center"/>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2020年度</w:t>
            </w:r>
          </w:p>
        </w:tc>
        <w:tc>
          <w:tcPr>
            <w:tcW w:w="766" w:type="pct"/>
            <w:vAlign w:val="center"/>
          </w:tcPr>
          <w:p>
            <w:pPr>
              <w:adjustRightInd w:val="0"/>
              <w:jc w:val="center"/>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2019年度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一、营业总收入</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lang w:eastAsia="zh-CN"/>
              </w:rPr>
              <w:t>257,830.81</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1,379,258.72</w:t>
            </w:r>
          </w:p>
        </w:tc>
        <w:tc>
          <w:tcPr>
            <w:tcW w:w="843"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803,246.67 </w:t>
            </w:r>
          </w:p>
        </w:tc>
        <w:tc>
          <w:tcPr>
            <w:tcW w:w="766"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1,007,818.12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其中：营业收入</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257,830.81</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1,379,258.72</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803,246.67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1,007,818.12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二、营业总成本</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lang w:eastAsia="zh-CN"/>
              </w:rPr>
              <w:t>167,172.27</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1,008,107.58</w:t>
            </w:r>
          </w:p>
        </w:tc>
        <w:tc>
          <w:tcPr>
            <w:tcW w:w="843"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547,899.89 </w:t>
            </w:r>
          </w:p>
        </w:tc>
        <w:tc>
          <w:tcPr>
            <w:tcW w:w="766"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543,073.20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其中：营业成本</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134,480.67</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878,165.97</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468,689.00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457,600.95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税金及附加</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3,447.80</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26,606.12</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12,586.47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12,699.07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销售费用</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376.49</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2,611.12</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2,469.84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3,597.18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管理费用</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4,484.62</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22,007.44</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19,722.64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22,759.59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财务费用</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24,382.68</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78,716.93</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44,431.94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46,416.40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资产减值损失</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-549.79</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加：其他收益</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590.65</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3,001.84</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3,321.96 </w:t>
            </w:r>
          </w:p>
        </w:tc>
        <w:tc>
          <w:tcPr>
            <w:tcW w:w="766" w:type="pct"/>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725.80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公允价值变动收益</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-2,632.00</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48,987.90</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3,354.75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7,129.53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投资收益</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14,871.57</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120,152.94</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61,846.00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88,631.39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其中：对联营企业和合营企业的投资收益</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13,571.53</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75,676.93</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37,514.14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64,905.02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rPr>
              <w:t>资产处置收益</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786.83</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22.03 </w:t>
            </w:r>
          </w:p>
        </w:tc>
        <w:tc>
          <w:tcPr>
            <w:tcW w:w="766" w:type="pct"/>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-7,025.21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信用减值损失转回</w:t>
            </w:r>
            <w:r>
              <w:rPr>
                <w:rFonts w:hint="default" w:ascii="Times New Roman" w:hAnsi="Times New Roman" w:eastAsia="宋体" w:cs="Times New Roman"/>
                <w:snapToGrid w:val="0"/>
                <w:sz w:val="21"/>
                <w:szCs w:val="21"/>
                <w:highlight w:val="none"/>
                <w:lang w:eastAsia="zh-CN"/>
              </w:rPr>
              <w:t>/（计提）</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11.50</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-9.40 </w:t>
            </w:r>
          </w:p>
        </w:tc>
        <w:tc>
          <w:tcPr>
            <w:tcW w:w="766" w:type="pct"/>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三、营业利润</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103,488.76</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543,542.37</w:t>
            </w:r>
          </w:p>
        </w:tc>
        <w:tc>
          <w:tcPr>
            <w:tcW w:w="843"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323,882.12 </w:t>
            </w:r>
          </w:p>
        </w:tc>
        <w:tc>
          <w:tcPr>
            <w:tcW w:w="766"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554,196.74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加：营业外收入</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85.01</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1,294.90</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8,292.62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3,233.62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减：营业外支出</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394.00</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2,885.06</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8,811.15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5,253.26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四、利润总额</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103,179.77</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541,952.21</w:t>
            </w:r>
          </w:p>
        </w:tc>
        <w:tc>
          <w:tcPr>
            <w:tcW w:w="843"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323,363.59 </w:t>
            </w:r>
          </w:p>
        </w:tc>
        <w:tc>
          <w:tcPr>
            <w:tcW w:w="766"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552,177.10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减：所得税费用</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24,635.57</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128,687.34</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71,488.13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122,128.63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五、净利润</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78,544.20</w:t>
            </w:r>
          </w:p>
        </w:tc>
        <w:tc>
          <w:tcPr>
            <w:tcW w:w="910"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413,264.88</w:t>
            </w:r>
          </w:p>
        </w:tc>
        <w:tc>
          <w:tcPr>
            <w:tcW w:w="843"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251,875.47 </w:t>
            </w:r>
          </w:p>
        </w:tc>
        <w:tc>
          <w:tcPr>
            <w:tcW w:w="766" w:type="pct"/>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430,048.47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归属于母公司所有者的净利润</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79,530.14</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417,879.45</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246,421.37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419,970.44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1570" w:type="pct"/>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少数股东损益</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-985.95</w:t>
            </w:r>
          </w:p>
        </w:tc>
        <w:tc>
          <w:tcPr>
            <w:tcW w:w="910"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-4,614.57</w:t>
            </w:r>
          </w:p>
        </w:tc>
        <w:tc>
          <w:tcPr>
            <w:tcW w:w="843"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5,454.10 </w:t>
            </w:r>
          </w:p>
        </w:tc>
        <w:tc>
          <w:tcPr>
            <w:tcW w:w="766" w:type="pct"/>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10,078.03</w:t>
            </w:r>
          </w:p>
        </w:tc>
      </w:tr>
    </w:tbl>
    <w:p>
      <w:pPr>
        <w:pStyle w:val="24"/>
        <w:shd w:val="clear" w:color="auto" w:fill="auto"/>
        <w:adjustRightInd w:val="0"/>
        <w:snapToGrid w:val="0"/>
        <w:spacing w:before="0" w:line="360" w:lineRule="auto"/>
        <w:ind w:firstLine="0"/>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（3）最近三年及一期合并现金流量表</w:t>
      </w:r>
    </w:p>
    <w:p>
      <w:pPr>
        <w:autoSpaceDE w:val="0"/>
        <w:autoSpaceDN w:val="0"/>
        <w:adjustRightInd w:val="0"/>
        <w:spacing w:line="288" w:lineRule="auto"/>
        <w:ind w:firstLine="480" w:firstLineChars="200"/>
        <w:jc w:val="right"/>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单位：万元</w:t>
      </w:r>
    </w:p>
    <w:tbl>
      <w:tblPr>
        <w:tblStyle w:val="11"/>
        <w:tblW w:w="93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3303"/>
        <w:gridCol w:w="1498"/>
        <w:gridCol w:w="1498"/>
        <w:gridCol w:w="1569"/>
        <w:gridCol w:w="15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blHeader/>
          <w:jc w:val="center"/>
        </w:trPr>
        <w:tc>
          <w:tcPr>
            <w:tcW w:w="3303" w:type="dxa"/>
            <w:vAlign w:val="center"/>
          </w:tcPr>
          <w:p>
            <w:pPr>
              <w:adjustRightInd w:val="0"/>
              <w:jc w:val="center"/>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项目</w:t>
            </w:r>
          </w:p>
        </w:tc>
        <w:tc>
          <w:tcPr>
            <w:tcW w:w="1498"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lang w:eastAsia="zh-CN"/>
              </w:rPr>
              <w:t>2</w:t>
            </w:r>
            <w:r>
              <w:rPr>
                <w:rFonts w:hint="default" w:ascii="Times New Roman" w:hAnsi="Times New Roman" w:eastAsia="宋体" w:cs="Times New Roman"/>
                <w:b/>
                <w:snapToGrid w:val="0"/>
                <w:sz w:val="21"/>
                <w:szCs w:val="21"/>
                <w:highlight w:val="none"/>
              </w:rPr>
              <w:t>022年</w:t>
            </w:r>
            <w:r>
              <w:rPr>
                <w:rFonts w:hint="default" w:ascii="Times New Roman" w:hAnsi="Times New Roman" w:eastAsia="宋体" w:cs="Times New Roman"/>
                <w:b/>
                <w:snapToGrid w:val="0"/>
                <w:sz w:val="21"/>
                <w:szCs w:val="21"/>
                <w:highlight w:val="none"/>
                <w:lang w:eastAsia="zh-CN"/>
              </w:rPr>
              <w:t>1-</w:t>
            </w:r>
            <w:r>
              <w:rPr>
                <w:rFonts w:hint="default" w:ascii="Times New Roman" w:hAnsi="Times New Roman" w:eastAsia="宋体" w:cs="Times New Roman"/>
                <w:b/>
                <w:snapToGrid w:val="0"/>
                <w:sz w:val="21"/>
                <w:szCs w:val="21"/>
                <w:highlight w:val="none"/>
              </w:rPr>
              <w:t>3月</w:t>
            </w:r>
          </w:p>
        </w:tc>
        <w:tc>
          <w:tcPr>
            <w:tcW w:w="1498"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2021年度</w:t>
            </w:r>
          </w:p>
        </w:tc>
        <w:tc>
          <w:tcPr>
            <w:tcW w:w="1569" w:type="dxa"/>
            <w:vAlign w:val="center"/>
          </w:tcPr>
          <w:p>
            <w:pPr>
              <w:adjustRightInd w:val="0"/>
              <w:jc w:val="center"/>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2020年度</w:t>
            </w:r>
          </w:p>
        </w:tc>
        <w:tc>
          <w:tcPr>
            <w:tcW w:w="1513" w:type="dxa"/>
            <w:vAlign w:val="center"/>
          </w:tcPr>
          <w:p>
            <w:pPr>
              <w:adjustRightInd w:val="0"/>
              <w:jc w:val="center"/>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2019年度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一、经营活动产生的现金流量：</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513"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销售商品、提供劳务收到的现金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250,602.25</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1,046,880.27</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779,239.06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1,074,009.46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收到的税费返还</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6,727.08</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收到其他与经营活动有关的现金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30,668.71</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80,838.26</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37,872.02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9,890.67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经营活动现金流入小计</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281,270.96</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1,134,445.61</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817,111.09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1,083,900.12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购买商品、接受劳务支付的现金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84,845.65</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200,430.60</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165,419.10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209,349.43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支付给职工以及为职工支付的现金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24,997.81</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118,406.92</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104,913.60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103,041.78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支付的各项税费</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35,916.09</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152,367.10</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167,149.33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189,134.94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支付其他与经营活动有关的现金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25,226.64</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116,514.44</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65,888.90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6,045.62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经营活动现金流出小计</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170,986.19</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587,719.06</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503,370.94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507,571.76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经营活动产生的现金流量净额</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110,284.78</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546,726.55</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313,740.15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576,328.36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二、投资活动产生的现金流量：</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513"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收回投资收到的现金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101,520.52</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1,676,430.24</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485,061.45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859,427.56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取得投资收益收到的现金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1,314.38</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61,215.83</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42,244.68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43,819.76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处置固定资产、无形资产和其他长期资产收回的现金净额</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0.48</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1,020.09</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58.66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744.62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处置子公司及其他营业单位收到的现金净额</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收到其他与投资活动有关的现金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投资活动现金流入小计</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102,835.38</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1,738,666.17</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527,364.79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903,991.94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购建固定资产、无形资产和其他长期资产支付的现金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21,958.53</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331,880.70</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424,549.63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484,987.00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投资支付的现金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159,426.44</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2,045,607.42</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672,801.94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1,158,165.57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取得子公司及其他营业单位支付的现金净额</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支付其他与投资活动有关的现金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投资活动现金流出小计</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181,384.96</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2,377,488.12</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1,097,351.57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1,643,152.57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投资活动产生的现金流量净额</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-78,549.58</w:t>
            </w:r>
          </w:p>
        </w:tc>
        <w:tc>
          <w:tcPr>
            <w:tcW w:w="1498" w:type="dxa"/>
            <w:shd w:val="clear" w:color="auto" w:fill="auto"/>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-638,821.95</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-569,986.78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-739,160.63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三、筹资活动产生的现金流量：</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lang w:eastAsia="zh-CN"/>
              </w:rPr>
            </w:pPr>
          </w:p>
        </w:tc>
        <w:tc>
          <w:tcPr>
            <w:tcW w:w="1513"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吸收投资收到的现金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35,453.00</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64,711.00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83,406.28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取得借款收到的现金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754,314.66</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2,620,095.12</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w:t>
            </w:r>
            <w:r>
              <w:rPr>
                <w:rFonts w:hint="default" w:ascii="Times New Roman" w:hAnsi="Times New Roman" w:eastAsia="宋体" w:cs="Times New Roman"/>
                <w:snapToGrid w:val="0"/>
                <w:sz w:val="21"/>
                <w:szCs w:val="21"/>
                <w:highlight w:val="none"/>
              </w:rPr>
              <w:t>,</w:t>
            </w:r>
            <w:r>
              <w:rPr>
                <w:rFonts w:hint="default" w:ascii="Times New Roman" w:hAnsi="Times New Roman" w:eastAsia="宋体" w:cs="Times New Roman"/>
                <w:snapToGrid w:val="0"/>
                <w:sz w:val="21"/>
                <w:szCs w:val="21"/>
                <w:highlight w:val="none"/>
                <w:lang w:eastAsia="zh-CN"/>
              </w:rPr>
              <w:t>9</w:t>
            </w:r>
            <w:r>
              <w:rPr>
                <w:rFonts w:hint="default" w:ascii="Times New Roman" w:hAnsi="Times New Roman" w:eastAsia="宋体" w:cs="Times New Roman"/>
                <w:snapToGrid w:val="0"/>
                <w:sz w:val="21"/>
                <w:szCs w:val="21"/>
                <w:highlight w:val="none"/>
              </w:rPr>
              <w:t>49,</w:t>
            </w: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50.00</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520,811.60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发行债券收到的现金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收到其他与筹资活动有关的现金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p>
        </w:tc>
        <w:tc>
          <w:tcPr>
            <w:tcW w:w="151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726,000.00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筹资活动现金流入小计</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754,314.66</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2,655,548.12</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3,014,061.00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1,330,217.88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偿还债务支付的现金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763,148.15</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2,243,528.47</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2,459,154.00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898,575.05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分配股利、利润或偿付利息支付的现金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23,675.38</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306,043.48</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306,852.48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273,976.69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其中：子公司支付给少数股东的股利、利润</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1,110.75</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1,543.89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1,538.56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支付其他与筹资活动有关的现金</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1,650.00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1,405.56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筹资活动现金流出小计</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786,823.53</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2,549,571.95</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2,767,656.48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1,173,957.29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筹资活动产生的现金流量净额</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-32,508.87</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105,976.17</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246,404.52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156,260.59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四、汇率变动对现金及现金等价物的影响</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
                <w:bCs/>
                <w:snapToGrid w:val="0"/>
                <w:sz w:val="21"/>
                <w:szCs w:val="21"/>
                <w:highlight w:val="none"/>
              </w:rPr>
              <w:t>-</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513"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五、现金及现金等价物净增加额</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-773.67</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13,880.77</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-9,842.10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-6,571.68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加：期初现金及现金等价物余额</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48,979.68</w:t>
            </w:r>
          </w:p>
        </w:tc>
        <w:tc>
          <w:tcPr>
            <w:tcW w:w="1498"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35,098.91</w:t>
            </w:r>
          </w:p>
        </w:tc>
        <w:tc>
          <w:tcPr>
            <w:tcW w:w="1569"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44,941.01 </w:t>
            </w:r>
          </w:p>
        </w:tc>
        <w:tc>
          <w:tcPr>
            <w:tcW w:w="1513"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51,512.69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3303" w:type="dxa"/>
            <w:vAlign w:val="center"/>
          </w:tcPr>
          <w:p>
            <w:pPr>
              <w:adjustRightInd w:val="0"/>
              <w:textAlignment w:val="top"/>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六、期末现金及现金等价物余额</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48,206.01</w:t>
            </w:r>
          </w:p>
        </w:tc>
        <w:tc>
          <w:tcPr>
            <w:tcW w:w="1498"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48,979.68</w:t>
            </w:r>
          </w:p>
        </w:tc>
        <w:tc>
          <w:tcPr>
            <w:tcW w:w="1569"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35,098.91 </w:t>
            </w:r>
          </w:p>
        </w:tc>
        <w:tc>
          <w:tcPr>
            <w:tcW w:w="1513"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44,941.01</w:t>
            </w:r>
          </w:p>
        </w:tc>
      </w:tr>
    </w:tbl>
    <w:p>
      <w:pPr>
        <w:pStyle w:val="24"/>
        <w:shd w:val="clear" w:color="auto" w:fill="auto"/>
        <w:adjustRightInd w:val="0"/>
        <w:snapToGrid w:val="0"/>
        <w:spacing w:before="0" w:line="360" w:lineRule="auto"/>
        <w:ind w:firstLine="482" w:firstLineChars="200"/>
        <w:rPr>
          <w:rFonts w:hint="default" w:ascii="Times New Roman" w:hAnsi="Times New Roman" w:eastAsia="宋体" w:cs="Times New Roman"/>
          <w:b/>
          <w:bCs/>
          <w:sz w:val="24"/>
          <w:szCs w:val="24"/>
          <w:highlight w:val="none"/>
        </w:rPr>
      </w:pPr>
      <w:bookmarkStart w:id="7" w:name="_Hlk101215607"/>
      <w:r>
        <w:rPr>
          <w:rStyle w:val="23"/>
          <w:rFonts w:hint="default" w:ascii="Times New Roman" w:hAnsi="Times New Roman" w:eastAsia="宋体" w:cs="Times New Roman"/>
          <w:b/>
          <w:bCs/>
          <w:color w:val="000000"/>
          <w:sz w:val="24"/>
          <w:szCs w:val="24"/>
          <w:highlight w:val="none"/>
          <w:lang w:val="zh-TW"/>
        </w:rPr>
        <w:t>2、公司最近三年及一期的母公司财务报表</w:t>
      </w:r>
    </w:p>
    <w:p>
      <w:pPr>
        <w:pStyle w:val="24"/>
        <w:shd w:val="clear" w:color="auto" w:fill="auto"/>
        <w:adjustRightInd w:val="0"/>
        <w:snapToGrid w:val="0"/>
        <w:spacing w:before="0" w:line="360" w:lineRule="auto"/>
        <w:ind w:left="440" w:firstLine="0"/>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（1）</w:t>
      </w:r>
      <w:bookmarkStart w:id="8" w:name="_Hlk101214236"/>
      <w:r>
        <w:rPr>
          <w:rStyle w:val="23"/>
          <w:rFonts w:hint="default" w:ascii="Times New Roman" w:hAnsi="Times New Roman" w:eastAsia="宋体" w:cs="Times New Roman"/>
          <w:color w:val="000000"/>
          <w:sz w:val="24"/>
          <w:szCs w:val="24"/>
          <w:highlight w:val="none"/>
          <w:lang w:val="zh-TW"/>
        </w:rPr>
        <w:t>最近三年及一期母公司资产负债表</w:t>
      </w:r>
    </w:p>
    <w:p>
      <w:pPr>
        <w:autoSpaceDE w:val="0"/>
        <w:autoSpaceDN w:val="0"/>
        <w:adjustRightInd w:val="0"/>
        <w:spacing w:line="288" w:lineRule="auto"/>
        <w:ind w:firstLine="480" w:firstLineChars="200"/>
        <w:jc w:val="right"/>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单位：万元</w:t>
      </w:r>
    </w:p>
    <w:tbl>
      <w:tblPr>
        <w:tblStyle w:val="11"/>
        <w:tblW w:w="88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646"/>
        <w:gridCol w:w="1706"/>
        <w:gridCol w:w="1706"/>
        <w:gridCol w:w="1392"/>
        <w:gridCol w:w="1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blHeader/>
          <w:jc w:val="center"/>
        </w:trPr>
        <w:tc>
          <w:tcPr>
            <w:tcW w:w="2646" w:type="dxa"/>
            <w:vAlign w:val="center"/>
          </w:tcPr>
          <w:p>
            <w:pPr>
              <w:adjustRightInd w:val="0"/>
              <w:jc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项目</w:t>
            </w:r>
          </w:p>
        </w:tc>
        <w:tc>
          <w:tcPr>
            <w:tcW w:w="1706" w:type="dxa"/>
            <w:vAlign w:val="center"/>
          </w:tcPr>
          <w:p>
            <w:pPr>
              <w:adjustRightInd w:val="0"/>
              <w:jc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lang w:eastAsia="zh-CN"/>
              </w:rPr>
              <w:t>2</w:t>
            </w:r>
            <w:r>
              <w:rPr>
                <w:rFonts w:hint="default" w:ascii="Times New Roman" w:hAnsi="Times New Roman" w:eastAsia="宋体" w:cs="Times New Roman"/>
                <w:b/>
                <w:snapToGrid w:val="0"/>
                <w:sz w:val="21"/>
                <w:szCs w:val="21"/>
                <w:highlight w:val="none"/>
              </w:rPr>
              <w:t>022年3月末</w:t>
            </w:r>
          </w:p>
        </w:tc>
        <w:tc>
          <w:tcPr>
            <w:tcW w:w="1706" w:type="dxa"/>
            <w:vAlign w:val="center"/>
          </w:tcPr>
          <w:p>
            <w:pPr>
              <w:adjustRightInd w:val="0"/>
              <w:jc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2021年末</w:t>
            </w:r>
          </w:p>
        </w:tc>
        <w:tc>
          <w:tcPr>
            <w:tcW w:w="1392" w:type="dxa"/>
            <w:vAlign w:val="center"/>
          </w:tcPr>
          <w:p>
            <w:pPr>
              <w:adjustRightInd w:val="0"/>
              <w:jc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2020年末</w:t>
            </w:r>
          </w:p>
        </w:tc>
        <w:tc>
          <w:tcPr>
            <w:tcW w:w="1392" w:type="dxa"/>
            <w:vAlign w:val="center"/>
          </w:tcPr>
          <w:p>
            <w:pPr>
              <w:adjustRightInd w:val="0"/>
              <w:jc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2019年末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流动资产：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货币资金</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30,860.32</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31,997.12</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5,452.67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7,299.32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交易性金融资产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280,407.47</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219,961.67</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103,112.38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37,000.00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应收账款</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30,255.63</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38,957.25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28,864.42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15,869.37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预付款项</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589.34</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479.06</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1,146.81</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598.37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其他应收款（合计）</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1,221.08</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1,093.40</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1,321.67</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1,318.29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其中：应收利息</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ind w:firstLine="630" w:firstLineChars="30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应收股利</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499.00</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499.00</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499.00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499.00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ind w:firstLine="630" w:firstLineChars="30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其他应收款</w:t>
            </w:r>
          </w:p>
        </w:tc>
        <w:tc>
          <w:tcPr>
            <w:tcW w:w="1706" w:type="dxa"/>
            <w:vAlign w:val="center"/>
          </w:tcPr>
          <w:p>
            <w:pPr>
              <w:adjustRightInd w:val="0"/>
              <w:ind w:left="180" w:leftChars="75"/>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722.08</w:t>
            </w:r>
          </w:p>
        </w:tc>
        <w:tc>
          <w:tcPr>
            <w:tcW w:w="1706" w:type="dxa"/>
            <w:vAlign w:val="center"/>
          </w:tcPr>
          <w:p>
            <w:pPr>
              <w:adjustRightInd w:val="0"/>
              <w:ind w:left="180" w:leftChars="75"/>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594.40</w:t>
            </w:r>
          </w:p>
        </w:tc>
        <w:tc>
          <w:tcPr>
            <w:tcW w:w="1392" w:type="dxa"/>
            <w:vAlign w:val="center"/>
          </w:tcPr>
          <w:p>
            <w:pPr>
              <w:adjustRightInd w:val="0"/>
              <w:ind w:left="180" w:leftChars="75"/>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822.68</w:t>
            </w:r>
          </w:p>
        </w:tc>
        <w:tc>
          <w:tcPr>
            <w:tcW w:w="1392" w:type="dxa"/>
            <w:vAlign w:val="center"/>
          </w:tcPr>
          <w:p>
            <w:pPr>
              <w:adjustRightInd w:val="0"/>
              <w:ind w:left="180" w:leftChars="75"/>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819.29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存货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2,066.36</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1,597.11</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1,411.80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1,296.19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一年内到期的非流动资产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3,028.42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其他流动资产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291,109.44</w:t>
            </w:r>
          </w:p>
        </w:tc>
        <w:tc>
          <w:tcPr>
            <w:tcW w:w="1706" w:type="dxa"/>
            <w:vAlign w:val="center"/>
          </w:tcPr>
          <w:p>
            <w:pPr>
              <w:wordWrap w:val="0"/>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327,953.60</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309,503.34</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40,499.86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流动资产合计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636,509.64</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622,039.21</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450,813.10</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106,909.81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非流动资产：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可供出售金融资产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长期股权投资</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1,674,771.79</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1,664,094.68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1,385,209.54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1,743,716.29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其他权益工具投资</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536,077.82</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445,119.96</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406,499.41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418,831.10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固定资产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123,058.66</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126,418.39</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138,142.56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101,037.94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在建工程</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20,981.00</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19,556.30</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10,233.11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7,811.09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无形资产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1,219,639.85</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1,243,323.67</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1,353,150.65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939,439.30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长期待摊费用</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566.04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递延所得税资产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4,807.78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其他非流动资产</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55,010.16</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1,309.38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1,487.98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190,107.97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非流动资产合计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3,629,539.29</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3,499,822.38</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3,299,531.01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3,401,509.72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资产总计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4,266,048.94</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4,121,861.59</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3,750,344.11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3,508,419.53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流动负债：</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短期借款</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95,088.23</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45,043.31</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56,053.90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202,232.09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应付账款</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38,057.59</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57,654.07</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66,181.25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58,959.17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预收款项</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703.02</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554.68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314.35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467.96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应付职工薪酬</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177.34</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163.59</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118.17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102.38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应交税费</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13,134.53</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9,221.57</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3,582.25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2,606.80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其他应付款</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21,763.14</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21,422.98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17,736.65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15,443.45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其中：应付利息</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ind w:firstLine="525" w:firstLineChars="25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应付股利</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9,554.34</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8,897.91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一年内到期的非流动负债</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10,874.11</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9,013.26</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105,667.81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305,517.60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其他流动负债</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710,423.42</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763,828.29</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825,707.85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499,888.42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流动负债合计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890,221.37</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906,901.74</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1,075,362.23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1,085,217.88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非流动负债：</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长期借款</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100,902.79</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100,990.17</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71,131.63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1,382.74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应付债券</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577,887.83</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577,741.90</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198,460.64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99,746.09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预计负债</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递延所得税负债</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23,156.44</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416.98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14,420.04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Cs/>
                <w:snapToGrid w:val="0"/>
                <w:sz w:val="21"/>
                <w:szCs w:val="21"/>
                <w:highlight w:val="none"/>
              </w:rPr>
            </w:pPr>
            <w:r>
              <w:rPr>
                <w:rFonts w:hint="default" w:ascii="Times New Roman" w:hAnsi="Times New Roman" w:eastAsia="宋体" w:cs="Times New Roman"/>
                <w:bCs/>
                <w:snapToGrid w:val="0"/>
                <w:sz w:val="21"/>
                <w:szCs w:val="21"/>
                <w:highlight w:val="none"/>
              </w:rPr>
              <w:t>递延收益</w:t>
            </w:r>
          </w:p>
        </w:tc>
        <w:tc>
          <w:tcPr>
            <w:tcW w:w="1706" w:type="dxa"/>
            <w:vAlign w:val="center"/>
          </w:tcPr>
          <w:p>
            <w:pPr>
              <w:adjustRightIn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napToGrid w:val="0"/>
                <w:sz w:val="21"/>
                <w:szCs w:val="21"/>
                <w:highlight w:val="none"/>
                <w:lang w:eastAsia="zh-CN"/>
              </w:rPr>
              <w:t>7,138.53</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7,388.66</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sz w:val="21"/>
                <w:szCs w:val="21"/>
                <w:highlight w:val="none"/>
              </w:rPr>
              <w:t xml:space="preserve">8,461.09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非流动负债合计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lang w:eastAsia="zh-CN"/>
              </w:rPr>
              <w:t>709,085.59</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686,537.70</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278,053.36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115,548.88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负债合计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1,599,306.96</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1,593,439.45</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1,353,415.59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1,200,766.76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所有者权益：</w:t>
            </w:r>
          </w:p>
        </w:tc>
        <w:tc>
          <w:tcPr>
            <w:tcW w:w="1706" w:type="dxa"/>
            <w:vAlign w:val="center"/>
          </w:tcPr>
          <w:p>
            <w:pPr>
              <w:adjustRightInd w:val="0"/>
              <w:jc w:val="right"/>
              <w:rPr>
                <w:rFonts w:hint="default" w:ascii="Times New Roman" w:hAnsi="Times New Roman" w:eastAsia="宋体" w:cs="Times New Roman"/>
                <w:b/>
                <w:snapToGrid w:val="0"/>
                <w:sz w:val="21"/>
                <w:szCs w:val="21"/>
                <w:highlight w:val="none"/>
              </w:rPr>
            </w:pPr>
          </w:p>
        </w:tc>
        <w:tc>
          <w:tcPr>
            <w:tcW w:w="1706" w:type="dxa"/>
            <w:vAlign w:val="center"/>
          </w:tcPr>
          <w:p>
            <w:pPr>
              <w:adjustRightInd w:val="0"/>
              <w:jc w:val="right"/>
              <w:rPr>
                <w:rFonts w:hint="default" w:ascii="Times New Roman" w:hAnsi="Times New Roman" w:eastAsia="宋体" w:cs="Times New Roman"/>
                <w:b/>
                <w:snapToGrid w:val="0"/>
                <w:sz w:val="21"/>
                <w:szCs w:val="21"/>
                <w:highlight w:val="none"/>
              </w:rPr>
            </w:pP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实收资本（或股本）</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503,774.75</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503,774.75</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503,774.75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503,774.75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资本公积</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1,037,295.08</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1,037,295.08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1,037,285.92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740,117.53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其他综合收益</w:t>
            </w:r>
          </w:p>
        </w:tc>
        <w:tc>
          <w:tcPr>
            <w:tcW w:w="1706" w:type="dxa"/>
            <w:vAlign w:val="center"/>
          </w:tcPr>
          <w:p>
            <w:pPr>
              <w:adjustRightIn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napToGrid w:val="0"/>
                <w:sz w:val="21"/>
                <w:szCs w:val="21"/>
                <w:highlight w:val="none"/>
                <w:lang w:eastAsia="zh-CN"/>
              </w:rPr>
              <w:t>98,937.79</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33,679.73</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18,065.94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73,009.58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盈余公积</w:t>
            </w:r>
          </w:p>
        </w:tc>
        <w:tc>
          <w:tcPr>
            <w:tcW w:w="1706" w:type="dxa"/>
            <w:vAlign w:val="center"/>
          </w:tcPr>
          <w:p>
            <w:pPr>
              <w:adjustRightIn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napToGrid w:val="0"/>
                <w:sz w:val="21"/>
                <w:szCs w:val="21"/>
                <w:highlight w:val="none"/>
                <w:lang w:eastAsia="zh-CN"/>
              </w:rPr>
              <w:t>251,887.38</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251,887.38</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251,887.38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251,887.38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未分配利润</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774,846.97</w:t>
            </w:r>
          </w:p>
        </w:tc>
        <w:tc>
          <w:tcPr>
            <w:tcW w:w="170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701,785.21</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585,914.53 </w:t>
            </w:r>
          </w:p>
        </w:tc>
        <w:tc>
          <w:tcPr>
            <w:tcW w:w="1392"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738,863.55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所有者权益合计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2,666,741.98</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2,528,422.14</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2,396,928.52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2,307,652.78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646" w:type="dxa"/>
            <w:vAlign w:val="center"/>
          </w:tcPr>
          <w:p>
            <w:pPr>
              <w:adjustRightInd w:val="0"/>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负债和所有者权益总计</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lang w:eastAsia="zh-CN"/>
              </w:rPr>
              <w:t>4,266,048.94</w:t>
            </w:r>
          </w:p>
        </w:tc>
        <w:tc>
          <w:tcPr>
            <w:tcW w:w="170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4,121,861.59</w:t>
            </w:r>
          </w:p>
        </w:tc>
        <w:tc>
          <w:tcPr>
            <w:tcW w:w="139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3,750,344.11 </w:t>
            </w:r>
          </w:p>
        </w:tc>
        <w:tc>
          <w:tcPr>
            <w:tcW w:w="1392" w:type="dxa"/>
            <w:vAlign w:val="center"/>
          </w:tcPr>
          <w:p>
            <w:pPr>
              <w:adjustRightInd w:val="0"/>
              <w:jc w:val="right"/>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3,508,419.53</w:t>
            </w:r>
          </w:p>
        </w:tc>
      </w:tr>
    </w:tbl>
    <w:p>
      <w:pPr>
        <w:pStyle w:val="24"/>
        <w:shd w:val="clear" w:color="auto" w:fill="auto"/>
        <w:adjustRightInd w:val="0"/>
        <w:snapToGrid w:val="0"/>
        <w:spacing w:before="0" w:line="360" w:lineRule="auto"/>
        <w:ind w:firstLine="0"/>
        <w:rPr>
          <w:rStyle w:val="23"/>
          <w:rFonts w:hint="default" w:ascii="Times New Roman" w:hAnsi="Times New Roman" w:eastAsia="宋体" w:cs="Times New Roman"/>
          <w:color w:val="000000"/>
          <w:sz w:val="24"/>
          <w:szCs w:val="24"/>
          <w:highlight w:val="none"/>
          <w:lang w:val="zh-TW"/>
        </w:rPr>
      </w:pPr>
    </w:p>
    <w:p>
      <w:pPr>
        <w:pStyle w:val="24"/>
        <w:shd w:val="clear" w:color="auto" w:fill="auto"/>
        <w:adjustRightInd w:val="0"/>
        <w:snapToGrid w:val="0"/>
        <w:spacing w:before="0" w:line="360" w:lineRule="auto"/>
        <w:ind w:firstLine="0"/>
        <w:rPr>
          <w:rStyle w:val="23"/>
          <w:rFonts w:hint="default" w:ascii="Times New Roman" w:hAnsi="Times New Roman" w:eastAsia="宋体" w:cs="Times New Roman"/>
          <w:color w:val="000000"/>
          <w:sz w:val="24"/>
          <w:szCs w:val="24"/>
          <w:highlight w:val="none"/>
          <w:lang w:val="zh-TW"/>
        </w:rPr>
      </w:pPr>
    </w:p>
    <w:p>
      <w:pPr>
        <w:pStyle w:val="24"/>
        <w:shd w:val="clear" w:color="auto" w:fill="auto"/>
        <w:adjustRightInd w:val="0"/>
        <w:snapToGrid w:val="0"/>
        <w:spacing w:before="0" w:line="360" w:lineRule="auto"/>
        <w:ind w:firstLine="0"/>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（2）最近三年及一期母公司利润表</w:t>
      </w:r>
    </w:p>
    <w:p>
      <w:pPr>
        <w:autoSpaceDE w:val="0"/>
        <w:autoSpaceDN w:val="0"/>
        <w:adjustRightInd w:val="0"/>
        <w:spacing w:line="288" w:lineRule="auto"/>
        <w:ind w:firstLine="480" w:firstLineChars="200"/>
        <w:jc w:val="right"/>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单位：万元</w:t>
      </w:r>
    </w:p>
    <w:tbl>
      <w:tblPr>
        <w:tblStyle w:val="11"/>
        <w:tblW w:w="8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217"/>
        <w:gridCol w:w="1880"/>
        <w:gridCol w:w="1880"/>
        <w:gridCol w:w="1383"/>
        <w:gridCol w:w="1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blHeader/>
          <w:jc w:val="center"/>
        </w:trPr>
        <w:tc>
          <w:tcPr>
            <w:tcW w:w="2217"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项目</w:t>
            </w:r>
          </w:p>
        </w:tc>
        <w:tc>
          <w:tcPr>
            <w:tcW w:w="1880"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lang w:eastAsia="zh-CN"/>
              </w:rPr>
              <w:t>2</w:t>
            </w:r>
            <w:r>
              <w:rPr>
                <w:rFonts w:hint="default" w:ascii="Times New Roman" w:hAnsi="Times New Roman" w:eastAsia="宋体" w:cs="Times New Roman"/>
                <w:b/>
                <w:snapToGrid w:val="0"/>
                <w:sz w:val="21"/>
                <w:szCs w:val="21"/>
                <w:highlight w:val="none"/>
              </w:rPr>
              <w:t>022年</w:t>
            </w:r>
            <w:r>
              <w:rPr>
                <w:rFonts w:hint="default" w:ascii="Times New Roman" w:hAnsi="Times New Roman" w:eastAsia="宋体" w:cs="Times New Roman"/>
                <w:b/>
                <w:snapToGrid w:val="0"/>
                <w:sz w:val="21"/>
                <w:szCs w:val="21"/>
                <w:highlight w:val="none"/>
                <w:lang w:eastAsia="zh-CN"/>
              </w:rPr>
              <w:t>1-</w:t>
            </w:r>
            <w:r>
              <w:rPr>
                <w:rFonts w:hint="default" w:ascii="Times New Roman" w:hAnsi="Times New Roman" w:eastAsia="宋体" w:cs="Times New Roman"/>
                <w:b/>
                <w:snapToGrid w:val="0"/>
                <w:sz w:val="21"/>
                <w:szCs w:val="21"/>
                <w:highlight w:val="none"/>
              </w:rPr>
              <w:t>3月</w:t>
            </w:r>
          </w:p>
        </w:tc>
        <w:tc>
          <w:tcPr>
            <w:tcW w:w="1880"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2021年度</w:t>
            </w:r>
          </w:p>
        </w:tc>
        <w:tc>
          <w:tcPr>
            <w:tcW w:w="1383"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2020年度</w:t>
            </w:r>
          </w:p>
        </w:tc>
        <w:tc>
          <w:tcPr>
            <w:tcW w:w="1382" w:type="dxa"/>
            <w:vAlign w:val="center"/>
          </w:tcPr>
          <w:p>
            <w:pPr>
              <w:adjustRightInd w:val="0"/>
              <w:jc w:val="center"/>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
                <w:snapToGrid w:val="0"/>
                <w:sz w:val="21"/>
                <w:szCs w:val="21"/>
                <w:highlight w:val="none"/>
              </w:rPr>
              <w:t>2019年度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一、营业总收入</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 170,738.90 </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787,081.61</w:t>
            </w:r>
          </w:p>
        </w:tc>
        <w:tc>
          <w:tcPr>
            <w:tcW w:w="1383"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616,061.42 </w:t>
            </w:r>
          </w:p>
        </w:tc>
        <w:tc>
          <w:tcPr>
            <w:tcW w:w="138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650,367.96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减：营业成本</w:t>
            </w:r>
          </w:p>
        </w:tc>
        <w:tc>
          <w:tcPr>
            <w:tcW w:w="1880" w:type="dxa"/>
            <w:vAlign w:val="center"/>
          </w:tcPr>
          <w:p>
            <w:pPr>
              <w:adjustRightIn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 xml:space="preserve"> 75,317.10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384,283.71</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363,648.34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274,573.16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税金及附加</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921.92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4,029.47</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2,386.45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4,357.23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管理费用</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3,640.18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18,303.35</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17,480.56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15,985.99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财务费用</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10,053.03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37,489.67</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30,647.53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31,731.82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其中：利息费用</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bCs/>
                <w:sz w:val="21"/>
                <w:szCs w:val="21"/>
                <w:highlight w:val="none"/>
              </w:rPr>
              <w:t xml:space="preserve"> 10,031.09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41,848.52</w:t>
            </w:r>
          </w:p>
        </w:tc>
        <w:tc>
          <w:tcPr>
            <w:tcW w:w="1383" w:type="dxa"/>
            <w:vAlign w:val="center"/>
          </w:tcPr>
          <w:p>
            <w:pPr>
              <w:adjustRightIn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4,040.17</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3,415.69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利息收入</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bCs/>
                <w:sz w:val="21"/>
                <w:szCs w:val="21"/>
                <w:highlight w:val="none"/>
              </w:rPr>
              <w:t xml:space="preserve"> 166.63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5,522.00</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4</w:t>
            </w:r>
            <w:r>
              <w:rPr>
                <w:rFonts w:hint="default" w:ascii="Times New Roman" w:hAnsi="Times New Roman" w:eastAsia="宋体" w:cs="Times New Roman"/>
                <w:snapToGrid w:val="0"/>
                <w:sz w:val="21"/>
                <w:szCs w:val="21"/>
                <w:highlight w:val="none"/>
              </w:rPr>
              <w:t>,527.97</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2</w:t>
            </w:r>
            <w:r>
              <w:rPr>
                <w:rFonts w:hint="default" w:ascii="Times New Roman" w:hAnsi="Times New Roman" w:eastAsia="宋体" w:cs="Times New Roman"/>
                <w:snapToGrid w:val="0"/>
                <w:sz w:val="21"/>
                <w:szCs w:val="21"/>
                <w:highlight w:val="none"/>
              </w:rPr>
              <w:t>,778.66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资产减值损失</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w:t>
            </w:r>
            <w:r>
              <w:rPr>
                <w:rFonts w:hint="default" w:ascii="Times New Roman" w:hAnsi="Times New Roman" w:eastAsia="宋体" w:cs="Times New Roman"/>
                <w:snapToGrid w:val="0"/>
                <w:sz w:val="21"/>
                <w:szCs w:val="21"/>
                <w:highlight w:val="none"/>
              </w:rPr>
              <w:t>549.79</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加：其他收益</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578.76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2,776.37</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2,895.45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523.96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投资收益</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12,427.48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93,266.46</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53,792.97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77,496.06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其中：对联营企业和合营企业的投资收益</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10,137.45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55,203.60</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28,214.05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44,081.80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rPr>
              <w:t>信用减值损失转回</w:t>
            </w:r>
            <w:r>
              <w:rPr>
                <w:rFonts w:hint="default" w:ascii="Times New Roman" w:hAnsi="Times New Roman" w:eastAsia="宋体" w:cs="Times New Roman"/>
                <w:snapToGrid w:val="0"/>
                <w:sz w:val="21"/>
                <w:szCs w:val="21"/>
                <w:highlight w:val="none"/>
                <w:lang w:eastAsia="zh-CN"/>
              </w:rPr>
              <w:t>/（计提）</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11.50</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-10.17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资产处置收益</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576.26</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17.17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-6,519.91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二、营业利润</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 93,812.90 </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439,056.20</w:t>
            </w:r>
          </w:p>
        </w:tc>
        <w:tc>
          <w:tcPr>
            <w:tcW w:w="1383"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258,593.97 </w:t>
            </w:r>
          </w:p>
        </w:tc>
        <w:tc>
          <w:tcPr>
            <w:tcW w:w="1382"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395,220.69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加：营业外收入</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11.49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885.63</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5,279.47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2,815.51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减：营业外支出</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382.19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2,741.06</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2,969.72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1,516.01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三、利润总额</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 93,442.20 </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437,200.78</w:t>
            </w:r>
          </w:p>
        </w:tc>
        <w:tc>
          <w:tcPr>
            <w:tcW w:w="1383"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260,903.72 </w:t>
            </w:r>
          </w:p>
        </w:tc>
        <w:tc>
          <w:tcPr>
            <w:tcW w:w="138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396,520.19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223" w:hRule="atLeas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snapToGrid w:val="0"/>
                <w:sz w:val="21"/>
                <w:szCs w:val="21"/>
                <w:highlight w:val="none"/>
              </w:rPr>
              <w:t>减：所得税费用</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Cs/>
                <w:sz w:val="21"/>
                <w:szCs w:val="21"/>
                <w:highlight w:val="none"/>
              </w:rPr>
              <w:t xml:space="preserve"> 20,380.43 </w:t>
            </w:r>
          </w:p>
        </w:tc>
        <w:tc>
          <w:tcPr>
            <w:tcW w:w="1880"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93,035.69</w:t>
            </w:r>
          </w:p>
        </w:tc>
        <w:tc>
          <w:tcPr>
            <w:tcW w:w="1383"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56,477.86 </w:t>
            </w:r>
          </w:p>
        </w:tc>
        <w:tc>
          <w:tcPr>
            <w:tcW w:w="138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86,121.85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217" w:type="dxa"/>
            <w:vAlign w:val="center"/>
          </w:tcPr>
          <w:p>
            <w:pPr>
              <w:adjustRightInd w:val="0"/>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四、净利润</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 73,061.77 </w:t>
            </w:r>
          </w:p>
        </w:tc>
        <w:tc>
          <w:tcPr>
            <w:tcW w:w="1880"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344,165.09</w:t>
            </w:r>
          </w:p>
        </w:tc>
        <w:tc>
          <w:tcPr>
            <w:tcW w:w="1383"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204,425.86 </w:t>
            </w:r>
          </w:p>
        </w:tc>
        <w:tc>
          <w:tcPr>
            <w:tcW w:w="138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310,398.33</w:t>
            </w:r>
          </w:p>
        </w:tc>
      </w:tr>
    </w:tbl>
    <w:p>
      <w:pPr>
        <w:tabs>
          <w:tab w:val="left" w:pos="6501"/>
        </w:tabs>
        <w:adjustRightInd w:val="0"/>
        <w:snapToGrid w:val="0"/>
        <w:spacing w:line="360" w:lineRule="auto"/>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（3）最近三年及一期母公司现金流量表</w:t>
      </w:r>
    </w:p>
    <w:p>
      <w:pPr>
        <w:autoSpaceDE w:val="0"/>
        <w:autoSpaceDN w:val="0"/>
        <w:adjustRightInd w:val="0"/>
        <w:spacing w:line="288" w:lineRule="auto"/>
        <w:ind w:firstLine="480" w:firstLineChars="200"/>
        <w:jc w:val="right"/>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单位：万元</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866"/>
        <w:gridCol w:w="1222"/>
        <w:gridCol w:w="1476"/>
        <w:gridCol w:w="1476"/>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blHeader/>
          <w:jc w:val="center"/>
        </w:trPr>
        <w:tc>
          <w:tcPr>
            <w:tcW w:w="2866"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项目</w:t>
            </w:r>
          </w:p>
        </w:tc>
        <w:tc>
          <w:tcPr>
            <w:tcW w:w="1222" w:type="dxa"/>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lang w:eastAsia="zh-CN"/>
              </w:rPr>
              <w:t>2</w:t>
            </w:r>
            <w:r>
              <w:rPr>
                <w:rFonts w:hint="default" w:ascii="Times New Roman" w:hAnsi="Times New Roman" w:eastAsia="宋体" w:cs="Times New Roman"/>
                <w:b/>
                <w:snapToGrid w:val="0"/>
                <w:sz w:val="21"/>
                <w:szCs w:val="21"/>
                <w:highlight w:val="none"/>
              </w:rPr>
              <w:t>022年</w:t>
            </w:r>
            <w:r>
              <w:rPr>
                <w:rFonts w:hint="default" w:ascii="Times New Roman" w:hAnsi="Times New Roman" w:eastAsia="宋体" w:cs="Times New Roman"/>
                <w:b/>
                <w:snapToGrid w:val="0"/>
                <w:sz w:val="21"/>
                <w:szCs w:val="21"/>
                <w:highlight w:val="none"/>
                <w:lang w:eastAsia="zh-CN"/>
              </w:rPr>
              <w:t>1-</w:t>
            </w:r>
            <w:r>
              <w:rPr>
                <w:rFonts w:hint="default" w:ascii="Times New Roman" w:hAnsi="Times New Roman" w:eastAsia="宋体" w:cs="Times New Roman"/>
                <w:b/>
                <w:snapToGrid w:val="0"/>
                <w:sz w:val="21"/>
                <w:szCs w:val="21"/>
                <w:highlight w:val="none"/>
              </w:rPr>
              <w:t>3月</w:t>
            </w:r>
          </w:p>
        </w:tc>
        <w:tc>
          <w:tcPr>
            <w:tcW w:w="1476"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2021年度</w:t>
            </w:r>
          </w:p>
        </w:tc>
        <w:tc>
          <w:tcPr>
            <w:tcW w:w="1476" w:type="dxa"/>
            <w:vAlign w:val="center"/>
          </w:tcPr>
          <w:p>
            <w:pPr>
              <w:adjustRightInd w:val="0"/>
              <w:jc w:val="center"/>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b/>
                <w:snapToGrid w:val="0"/>
                <w:sz w:val="21"/>
                <w:szCs w:val="21"/>
                <w:highlight w:val="none"/>
              </w:rPr>
              <w:t>2020年度</w:t>
            </w:r>
          </w:p>
        </w:tc>
        <w:tc>
          <w:tcPr>
            <w:tcW w:w="1476" w:type="dxa"/>
            <w:vAlign w:val="center"/>
          </w:tcPr>
          <w:p>
            <w:pPr>
              <w:adjustRightInd w:val="0"/>
              <w:jc w:val="center"/>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b/>
                <w:snapToGrid w:val="0"/>
                <w:sz w:val="21"/>
                <w:szCs w:val="21"/>
                <w:highlight w:val="none"/>
              </w:rPr>
              <w:t>2019年度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一、经营活动产生的现金流量：</w:t>
            </w:r>
          </w:p>
        </w:tc>
        <w:tc>
          <w:tcPr>
            <w:tcW w:w="1222"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销售商品、提供劳务收到的现金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189,082.65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771,548.06</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607,140.59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689,251.42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收到其他与经营活动有关的现金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836.29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26,006.61</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14,814.99</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3,828.80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经营活动现金流入小计</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189,918.94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797,554.67</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621,955.58</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693,080.22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购买商品、接受劳务支付的现金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53,948.88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169,359.84</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130,928.48</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127,506.10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支付给职工以及为职工支付的现金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19,791.79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93,461.46</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83,889.69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66,857.32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rPr>
            </w:pPr>
            <w:r>
              <w:rPr>
                <w:rFonts w:hint="default" w:ascii="Times New Roman" w:hAnsi="Times New Roman" w:eastAsia="宋体" w:cs="Times New Roman"/>
                <w:snapToGrid w:val="0"/>
                <w:sz w:val="21"/>
                <w:szCs w:val="21"/>
                <w:highlight w:val="none"/>
              </w:rPr>
              <w:t>支付的各项税费</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21,836.02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107,231.02</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90,195.53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131,598.10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支付其他与经营活动有关的现金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2,393.29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3,945.73</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9,152.49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4,916.27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经营活动现金流出小计</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97,969.98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373,998.05</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314,166.20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330,877.78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经营活动产生的现金流量净额</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91,948.96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423,556.62</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307,789.38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362,202.43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二、投资活动产生的现金流量：</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收回投资收到的现金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72,056.23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1,361,112.58</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352,800.00</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538,500.00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取得投资收益收到的现金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2,373.27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49,360.00</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40,533.58</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47,280.88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处置固定资产、无形资产和其他长期资产收回的现金净额</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0.26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590.35</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32.09</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370.69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收到其他与投资活动有关的现金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220,000.00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1,728,000.00</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221,600.00</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71,100.00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投资活动现金流入小计</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294,429.77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3,139,062.93</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614,965.67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657,251.57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购建固定资产、无形资产和其他长期资产支付的现金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2,550.88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25,785.15</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6,853.10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31,927.39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投资支付的现金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136,002.03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1,486,086.48</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462,062.07</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794,468.57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取得子公司及其他营业单位支付的现金净额</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240,531.43</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124,333.44</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203,245.32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支付其他与投资活动有关的现金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238,200.00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1,753,556.65</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293,600.00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37,100.00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投资活动现金流出小计</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376,752.92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3,505,959.70</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886,848.61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1,066,741.28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投资活动产生的现金流量净额</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-82,323.15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-366,896.78</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-271,882.94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-409,489.71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三、筹资活动产生的现金流量：</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吸收投资收到的现金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取得借款收到的现金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702,560.02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2,334,648.10</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2,454,</w:t>
            </w: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50.00</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412,000.00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收到其他与筹资活动有关的现金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lang w:eastAsia="zh-CN"/>
              </w:rPr>
              <w:t>7</w:t>
            </w:r>
            <w:r>
              <w:rPr>
                <w:rFonts w:hint="default" w:ascii="Times New Roman" w:hAnsi="Times New Roman" w:eastAsia="宋体" w:cs="Times New Roman"/>
                <w:snapToGrid w:val="0"/>
                <w:sz w:val="21"/>
                <w:szCs w:val="21"/>
                <w:highlight w:val="none"/>
              </w:rPr>
              <w:t>26,000.00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发行债券收到的现金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筹资活动现金流入小计</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702,560.02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2,334,648.10</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2,454,350.00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1,138,000.00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偿还债务支付的现金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703,079.15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2,101,218.13</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2,224,262.29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829,178.27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分配股利、利润或偿付利息支付的现金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10,243.48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263,545.36</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266,190.80</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262,922.71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支付其他与筹资活动有关的现金</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1,650.00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1,405.56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筹资活动现金流出小计</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713,322.63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2,364,763.48</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2,492,103.10</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1,093,506.54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筹资活动产生的现金流量净额</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-10,762.61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-30,115.39</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-37,753.10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44,493.46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四、汇率变动对现金及现金等价物的影响</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五、现金及现金等价物净增加额</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-1,136.80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26,544.45</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 xml:space="preserve">-1,846.65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-2,793.82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加：期初现金及现金等价物余额</w:t>
            </w:r>
          </w:p>
        </w:tc>
        <w:tc>
          <w:tcPr>
            <w:tcW w:w="1222"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z w:val="21"/>
                <w:szCs w:val="21"/>
                <w:highlight w:val="none"/>
              </w:rPr>
              <w:t xml:space="preserve">31,997.12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5,452.67</w:t>
            </w:r>
          </w:p>
        </w:tc>
        <w:tc>
          <w:tcPr>
            <w:tcW w:w="1476" w:type="dxa"/>
            <w:vAlign w:val="center"/>
          </w:tcPr>
          <w:p>
            <w:pPr>
              <w:adjustRightInd w:val="0"/>
              <w:jc w:val="right"/>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 xml:space="preserve">7,299.32 </w:t>
            </w:r>
          </w:p>
        </w:tc>
        <w:tc>
          <w:tcPr>
            <w:tcW w:w="1476" w:type="dxa"/>
            <w:vAlign w:val="center"/>
          </w:tcPr>
          <w:p>
            <w:pPr>
              <w:adjustRightInd w:val="0"/>
              <w:jc w:val="right"/>
              <w:textAlignment w:val="center"/>
              <w:rPr>
                <w:rFonts w:hint="default" w:ascii="Times New Roman" w:hAnsi="Times New Roman" w:eastAsia="宋体" w:cs="Times New Roman"/>
                <w:snapToGrid w:val="0"/>
                <w:sz w:val="21"/>
                <w:szCs w:val="21"/>
                <w:highlight w:val="none"/>
              </w:rPr>
            </w:pPr>
            <w:r>
              <w:rPr>
                <w:rFonts w:hint="default" w:ascii="Times New Roman" w:hAnsi="Times New Roman" w:eastAsia="宋体" w:cs="Times New Roman"/>
                <w:snapToGrid w:val="0"/>
                <w:sz w:val="21"/>
                <w:szCs w:val="21"/>
                <w:highlight w:val="none"/>
              </w:rPr>
              <w:t>10,093.14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jc w:val="center"/>
        </w:trPr>
        <w:tc>
          <w:tcPr>
            <w:tcW w:w="2866" w:type="dxa"/>
            <w:vAlign w:val="center"/>
          </w:tcPr>
          <w:p>
            <w:pPr>
              <w:adjustRightInd w:val="0"/>
              <w:textAlignment w:val="center"/>
              <w:rPr>
                <w:rFonts w:hint="default" w:ascii="Times New Roman" w:hAnsi="Times New Roman" w:eastAsia="宋体" w:cs="Times New Roman"/>
                <w:b/>
                <w:snapToGrid w:val="0"/>
                <w:sz w:val="21"/>
                <w:szCs w:val="21"/>
                <w:highlight w:val="none"/>
                <w:lang w:eastAsia="zh-CN"/>
              </w:rPr>
            </w:pPr>
            <w:r>
              <w:rPr>
                <w:rFonts w:hint="default" w:ascii="Times New Roman" w:hAnsi="Times New Roman" w:eastAsia="宋体" w:cs="Times New Roman"/>
                <w:b/>
                <w:snapToGrid w:val="0"/>
                <w:sz w:val="21"/>
                <w:szCs w:val="21"/>
                <w:highlight w:val="none"/>
                <w:lang w:eastAsia="zh-CN"/>
              </w:rPr>
              <w:t>六、期末现金及现金等价物余额</w:t>
            </w:r>
          </w:p>
        </w:tc>
        <w:tc>
          <w:tcPr>
            <w:tcW w:w="1222"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z w:val="21"/>
                <w:szCs w:val="21"/>
                <w:highlight w:val="none"/>
              </w:rPr>
              <w:t xml:space="preserve">30,860.32 </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31,997.12</w:t>
            </w:r>
          </w:p>
        </w:tc>
        <w:tc>
          <w:tcPr>
            <w:tcW w:w="1476" w:type="dxa"/>
            <w:vAlign w:val="center"/>
          </w:tcPr>
          <w:p>
            <w:pPr>
              <w:adjustRightInd w:val="0"/>
              <w:jc w:val="right"/>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bCs/>
                <w:snapToGrid w:val="0"/>
                <w:sz w:val="21"/>
                <w:szCs w:val="21"/>
                <w:highlight w:val="none"/>
              </w:rPr>
              <w:t>5,452.67</w:t>
            </w:r>
          </w:p>
        </w:tc>
        <w:tc>
          <w:tcPr>
            <w:tcW w:w="1476" w:type="dxa"/>
            <w:vAlign w:val="center"/>
          </w:tcPr>
          <w:p>
            <w:pPr>
              <w:adjustRightInd w:val="0"/>
              <w:jc w:val="right"/>
              <w:textAlignment w:val="center"/>
              <w:rPr>
                <w:rFonts w:hint="default" w:ascii="Times New Roman" w:hAnsi="Times New Roman" w:eastAsia="宋体" w:cs="Times New Roman"/>
                <w:b/>
                <w:bCs/>
                <w:snapToGrid w:val="0"/>
                <w:sz w:val="21"/>
                <w:szCs w:val="21"/>
                <w:highlight w:val="none"/>
              </w:rPr>
            </w:pPr>
            <w:r>
              <w:rPr>
                <w:rFonts w:hint="default" w:ascii="Times New Roman" w:hAnsi="Times New Roman" w:eastAsia="宋体" w:cs="Times New Roman"/>
                <w:b/>
                <w:snapToGrid w:val="0"/>
                <w:sz w:val="21"/>
                <w:szCs w:val="21"/>
                <w:highlight w:val="none"/>
              </w:rPr>
              <w:t>7,299.32</w:t>
            </w:r>
          </w:p>
        </w:tc>
      </w:tr>
      <w:bookmarkEnd w:id="7"/>
      <w:bookmarkEnd w:id="8"/>
    </w:tbl>
    <w:p>
      <w:pPr>
        <w:pStyle w:val="24"/>
        <w:shd w:val="clear" w:color="auto" w:fill="auto"/>
        <w:adjustRightInd w:val="0"/>
        <w:snapToGrid w:val="0"/>
        <w:spacing w:before="0" w:line="360" w:lineRule="auto"/>
        <w:ind w:firstLine="0"/>
        <w:jc w:val="both"/>
        <w:rPr>
          <w:rFonts w:hint="default" w:ascii="Times New Roman" w:hAnsi="Times New Roman" w:eastAsia="宋体" w:cs="Times New Roman"/>
          <w:b/>
          <w:bCs/>
          <w:sz w:val="24"/>
          <w:szCs w:val="24"/>
          <w:highlight w:val="none"/>
        </w:rPr>
      </w:pPr>
      <w:r>
        <w:rPr>
          <w:rStyle w:val="23"/>
          <w:rFonts w:hint="default" w:ascii="Times New Roman" w:hAnsi="Times New Roman" w:eastAsia="宋体" w:cs="Times New Roman"/>
          <w:b/>
          <w:bCs/>
          <w:color w:val="000000"/>
          <w:sz w:val="24"/>
          <w:szCs w:val="24"/>
          <w:highlight w:val="none"/>
          <w:lang w:val="zh-TW"/>
        </w:rPr>
        <w:t>3、公司最近三年及一期主要财务指标（合并口径)</w:t>
      </w:r>
      <w:bookmarkStart w:id="9" w:name="_Hlk101216221"/>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700"/>
        <w:gridCol w:w="1453"/>
        <w:gridCol w:w="157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95" w:type="pct"/>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财务指标</w:t>
            </w:r>
          </w:p>
        </w:tc>
        <w:tc>
          <w:tcPr>
            <w:tcW w:w="998" w:type="pct"/>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2022年3月末</w:t>
            </w:r>
          </w:p>
        </w:tc>
        <w:tc>
          <w:tcPr>
            <w:tcW w:w="853" w:type="pct"/>
            <w:noWrap/>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2021年末</w:t>
            </w:r>
          </w:p>
        </w:tc>
        <w:tc>
          <w:tcPr>
            <w:tcW w:w="926" w:type="pct"/>
            <w:noWrap/>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2020年末</w:t>
            </w:r>
          </w:p>
        </w:tc>
        <w:tc>
          <w:tcPr>
            <w:tcW w:w="828" w:type="pct"/>
            <w:noWrap/>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2019年末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95" w:type="pct"/>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资产负债率</w:t>
            </w:r>
          </w:p>
        </w:tc>
        <w:tc>
          <w:tcPr>
            <w:tcW w:w="99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46.40%</w:t>
            </w:r>
          </w:p>
        </w:tc>
        <w:tc>
          <w:tcPr>
            <w:tcW w:w="853"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47.74%</w:t>
            </w:r>
          </w:p>
        </w:tc>
        <w:tc>
          <w:tcPr>
            <w:tcW w:w="926"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45.91%</w:t>
            </w:r>
          </w:p>
        </w:tc>
        <w:tc>
          <w:tcPr>
            <w:tcW w:w="82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95" w:type="pct"/>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流动比率（倍）</w:t>
            </w:r>
          </w:p>
        </w:tc>
        <w:tc>
          <w:tcPr>
            <w:tcW w:w="99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0.69</w:t>
            </w:r>
          </w:p>
        </w:tc>
        <w:tc>
          <w:tcPr>
            <w:tcW w:w="853"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0.65</w:t>
            </w:r>
          </w:p>
        </w:tc>
        <w:tc>
          <w:tcPr>
            <w:tcW w:w="926"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0.54</w:t>
            </w:r>
          </w:p>
        </w:tc>
        <w:tc>
          <w:tcPr>
            <w:tcW w:w="82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95" w:type="pct"/>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速动比率（倍）</w:t>
            </w:r>
          </w:p>
        </w:tc>
        <w:tc>
          <w:tcPr>
            <w:tcW w:w="99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0.39</w:t>
            </w:r>
          </w:p>
        </w:tc>
        <w:tc>
          <w:tcPr>
            <w:tcW w:w="853"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0.35</w:t>
            </w:r>
          </w:p>
        </w:tc>
        <w:tc>
          <w:tcPr>
            <w:tcW w:w="926"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0.24</w:t>
            </w:r>
          </w:p>
        </w:tc>
        <w:tc>
          <w:tcPr>
            <w:tcW w:w="82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95" w:type="pct"/>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应收款周转率（次）</w:t>
            </w:r>
          </w:p>
        </w:tc>
        <w:tc>
          <w:tcPr>
            <w:tcW w:w="998" w:type="pct"/>
            <w:noWrap/>
            <w:vAlign w:val="center"/>
          </w:tcPr>
          <w:p>
            <w:pPr>
              <w:widowControl/>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napToGrid w:val="0"/>
                <w:sz w:val="21"/>
                <w:szCs w:val="21"/>
                <w:highlight w:val="none"/>
              </w:rPr>
              <w:t>28.88</w:t>
            </w:r>
          </w:p>
        </w:tc>
        <w:tc>
          <w:tcPr>
            <w:tcW w:w="853" w:type="pct"/>
            <w:noWrap/>
            <w:vAlign w:val="center"/>
          </w:tcPr>
          <w:p>
            <w:pPr>
              <w:widowControl/>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6.72</w:t>
            </w:r>
          </w:p>
        </w:tc>
        <w:tc>
          <w:tcPr>
            <w:tcW w:w="926" w:type="pct"/>
            <w:noWrap/>
            <w:vAlign w:val="center"/>
          </w:tcPr>
          <w:p>
            <w:pPr>
              <w:widowControl/>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0.12</w:t>
            </w:r>
          </w:p>
        </w:tc>
        <w:tc>
          <w:tcPr>
            <w:tcW w:w="828" w:type="pct"/>
            <w:noWrap/>
            <w:vAlign w:val="center"/>
          </w:tcPr>
          <w:p>
            <w:pPr>
              <w:widowControl/>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napToGrid w:val="0"/>
                <w:sz w:val="21"/>
                <w:szCs w:val="21"/>
                <w:highlight w:val="none"/>
                <w:lang w:eastAsia="zh-CN"/>
              </w:rPr>
              <w:t>3</w:t>
            </w:r>
            <w:r>
              <w:rPr>
                <w:rFonts w:hint="default" w:ascii="Times New Roman" w:hAnsi="Times New Roman" w:eastAsia="宋体" w:cs="Times New Roman"/>
                <w:snapToGrid w:val="0"/>
                <w:sz w:val="21"/>
                <w:szCs w:val="21"/>
                <w:highlight w:val="none"/>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95" w:type="pct"/>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存货周转率（次）</w:t>
            </w:r>
          </w:p>
        </w:tc>
        <w:tc>
          <w:tcPr>
            <w:tcW w:w="998" w:type="pct"/>
            <w:noWrap/>
            <w:vAlign w:val="center"/>
          </w:tcPr>
          <w:p>
            <w:pPr>
              <w:widowControl/>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napToGrid w:val="0"/>
                <w:sz w:val="21"/>
                <w:szCs w:val="21"/>
                <w:highlight w:val="none"/>
              </w:rPr>
              <w:t>2.72</w:t>
            </w:r>
          </w:p>
        </w:tc>
        <w:tc>
          <w:tcPr>
            <w:tcW w:w="853"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2.19</w:t>
            </w:r>
          </w:p>
        </w:tc>
        <w:tc>
          <w:tcPr>
            <w:tcW w:w="926"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1.13</w:t>
            </w:r>
          </w:p>
        </w:tc>
        <w:tc>
          <w:tcPr>
            <w:tcW w:w="828" w:type="pct"/>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1.11</w:t>
            </w:r>
          </w:p>
        </w:tc>
      </w:tr>
      <w:bookmarkEnd w:id="9"/>
    </w:tbl>
    <w:p>
      <w:pPr>
        <w:pStyle w:val="54"/>
        <w:numPr>
          <w:ilvl w:val="0"/>
          <w:numId w:val="1"/>
        </w:numPr>
        <w:tabs>
          <w:tab w:val="left" w:pos="6501"/>
        </w:tabs>
        <w:adjustRightInd w:val="0"/>
        <w:snapToGrid w:val="0"/>
        <w:spacing w:line="360" w:lineRule="auto"/>
        <w:ind w:firstLineChars="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流动比率=流动资产/流动负债</w:t>
      </w:r>
    </w:p>
    <w:p>
      <w:pPr>
        <w:pStyle w:val="54"/>
        <w:numPr>
          <w:ilvl w:val="0"/>
          <w:numId w:val="1"/>
        </w:numPr>
        <w:tabs>
          <w:tab w:val="left" w:pos="6501"/>
        </w:tabs>
        <w:adjustRightInd w:val="0"/>
        <w:snapToGrid w:val="0"/>
        <w:spacing w:line="360" w:lineRule="auto"/>
        <w:ind w:firstLineChars="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速动比率=(流动资产-存货净额）/流动负债</w:t>
      </w:r>
    </w:p>
    <w:p>
      <w:pPr>
        <w:pStyle w:val="54"/>
        <w:numPr>
          <w:ilvl w:val="0"/>
          <w:numId w:val="1"/>
        </w:numPr>
        <w:tabs>
          <w:tab w:val="left" w:pos="6501"/>
        </w:tabs>
        <w:adjustRightInd w:val="0"/>
        <w:snapToGrid w:val="0"/>
        <w:spacing w:line="360" w:lineRule="auto"/>
        <w:ind w:firstLineChars="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资产负债率=负债总计/资产总计*100%</w:t>
      </w:r>
    </w:p>
    <w:p>
      <w:pPr>
        <w:pStyle w:val="54"/>
        <w:numPr>
          <w:ilvl w:val="0"/>
          <w:numId w:val="1"/>
        </w:numPr>
        <w:tabs>
          <w:tab w:val="left" w:pos="6501"/>
        </w:tabs>
        <w:adjustRightInd w:val="0"/>
        <w:snapToGrid w:val="0"/>
        <w:spacing w:line="360" w:lineRule="auto"/>
        <w:ind w:firstLineChars="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应收账款周转率=营业收入/〔（期初应收账款净额+期末应收账款净额）/2〕</w:t>
      </w:r>
    </w:p>
    <w:p>
      <w:pPr>
        <w:pStyle w:val="54"/>
        <w:numPr>
          <w:ilvl w:val="0"/>
          <w:numId w:val="1"/>
        </w:numPr>
        <w:tabs>
          <w:tab w:val="left" w:pos="6501"/>
        </w:tabs>
        <w:adjustRightInd w:val="0"/>
        <w:snapToGrid w:val="0"/>
        <w:spacing w:line="360" w:lineRule="auto"/>
        <w:ind w:firstLineChars="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存货周转率=营业成本/〔（期初存货净额+期末存货净额）/2〕</w:t>
      </w:r>
    </w:p>
    <w:p>
      <w:pPr>
        <w:tabs>
          <w:tab w:val="left" w:pos="6501"/>
        </w:tabs>
        <w:adjustRightInd w:val="0"/>
        <w:snapToGrid w:val="0"/>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注：应收款周转率和存货周转率为年化指标。</w:t>
      </w:r>
    </w:p>
    <w:bookmarkEnd w:id="6"/>
    <w:p>
      <w:pPr>
        <w:pStyle w:val="26"/>
        <w:keepNext/>
        <w:keepLines/>
        <w:shd w:val="clear" w:color="auto" w:fill="auto"/>
        <w:adjustRightInd w:val="0"/>
        <w:snapToGrid w:val="0"/>
        <w:spacing w:line="360" w:lineRule="auto"/>
        <w:jc w:val="both"/>
        <w:rPr>
          <w:rFonts w:hint="default" w:ascii="Times New Roman" w:hAnsi="Times New Roman" w:eastAsia="宋体" w:cs="Times New Roman"/>
          <w:sz w:val="24"/>
          <w:szCs w:val="24"/>
          <w:highlight w:val="none"/>
        </w:rPr>
      </w:pPr>
      <w:bookmarkStart w:id="10" w:name="bookmark5"/>
      <w:r>
        <w:rPr>
          <w:rStyle w:val="25"/>
          <w:rFonts w:hint="default" w:ascii="Times New Roman" w:hAnsi="Times New Roman" w:eastAsia="宋体" w:cs="Times New Roman"/>
          <w:b/>
          <w:bCs/>
          <w:color w:val="000000"/>
          <w:sz w:val="24"/>
          <w:szCs w:val="24"/>
          <w:highlight w:val="none"/>
          <w:lang w:val="zh-TW"/>
        </w:rPr>
        <w:t>（三）公司管理层简明财务分析</w:t>
      </w:r>
      <w:bookmarkEnd w:id="10"/>
    </w:p>
    <w:p>
      <w:pPr>
        <w:pStyle w:val="24"/>
        <w:shd w:val="clear" w:color="auto" w:fill="auto"/>
        <w:adjustRightInd w:val="0"/>
        <w:snapToGri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为全面反映本公司整体的财务实力和资信状况，公司管理层结合公司最近三年及一期母公司口径财务报表，对资产及负债结构、现金偿债能力、盈利能力、未来业务目标以及盈利能力的可持续性进行了如下分析：</w:t>
      </w:r>
    </w:p>
    <w:p>
      <w:pPr>
        <w:pStyle w:val="24"/>
        <w:shd w:val="clear" w:color="auto" w:fill="auto"/>
        <w:adjustRightInd w:val="0"/>
        <w:snapToGrid w:val="0"/>
        <w:spacing w:before="0" w:line="360" w:lineRule="auto"/>
        <w:ind w:firstLine="482" w:firstLineChars="200"/>
        <w:jc w:val="both"/>
        <w:rPr>
          <w:rFonts w:hint="default" w:ascii="Times New Roman" w:hAnsi="Times New Roman" w:eastAsia="宋体" w:cs="Times New Roman"/>
          <w:b/>
          <w:bCs/>
          <w:sz w:val="24"/>
          <w:szCs w:val="24"/>
          <w:highlight w:val="none"/>
        </w:rPr>
      </w:pPr>
      <w:r>
        <w:rPr>
          <w:rStyle w:val="23"/>
          <w:rFonts w:hint="default" w:ascii="Times New Roman" w:hAnsi="Times New Roman" w:eastAsia="宋体" w:cs="Times New Roman"/>
          <w:b/>
          <w:bCs/>
          <w:color w:val="000000"/>
          <w:sz w:val="24"/>
          <w:szCs w:val="24"/>
          <w:highlight w:val="none"/>
          <w:lang w:val="zh-TW"/>
        </w:rPr>
        <w:t>1、</w:t>
      </w:r>
      <w:bookmarkStart w:id="11" w:name="_Hlk100191171"/>
      <w:r>
        <w:rPr>
          <w:rStyle w:val="23"/>
          <w:rFonts w:hint="default" w:ascii="Times New Roman" w:hAnsi="Times New Roman" w:eastAsia="宋体" w:cs="Times New Roman"/>
          <w:b/>
          <w:bCs/>
          <w:color w:val="000000"/>
          <w:sz w:val="24"/>
          <w:szCs w:val="24"/>
          <w:highlight w:val="none"/>
          <w:lang w:val="zh-TW"/>
        </w:rPr>
        <w:t>资产结构分析</w:t>
      </w:r>
      <w:bookmarkEnd w:id="11"/>
      <w:r>
        <w:rPr>
          <w:rStyle w:val="23"/>
          <w:rFonts w:hint="default" w:ascii="Times New Roman" w:hAnsi="Times New Roman" w:eastAsia="宋体" w:cs="Times New Roman"/>
          <w:b/>
          <w:bCs/>
          <w:color w:val="000000"/>
          <w:sz w:val="24"/>
          <w:szCs w:val="24"/>
          <w:highlight w:val="none"/>
          <w:lang w:val="zh-TW"/>
        </w:rPr>
        <w:t>：</w:t>
      </w:r>
    </w:p>
    <w:p>
      <w:pPr>
        <w:pStyle w:val="24"/>
        <w:shd w:val="clear" w:color="auto" w:fill="auto"/>
        <w:adjustRightInd w:val="0"/>
        <w:snapToGrid w:val="0"/>
        <w:spacing w:before="0" w:line="360" w:lineRule="auto"/>
        <w:ind w:firstLine="480" w:firstLineChars="20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母公司最近三年及一期末资产构成情况如下：</w:t>
      </w:r>
    </w:p>
    <w:p>
      <w:pPr>
        <w:tabs>
          <w:tab w:val="left" w:pos="6501"/>
        </w:tabs>
        <w:jc w:val="right"/>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单位：万元</w:t>
      </w:r>
    </w:p>
    <w:tbl>
      <w:tblPr>
        <w:tblStyle w:val="11"/>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17"/>
        <w:gridCol w:w="1071"/>
        <w:gridCol w:w="1182"/>
        <w:gridCol w:w="960"/>
        <w:gridCol w:w="1166"/>
        <w:gridCol w:w="976"/>
        <w:gridCol w:w="11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696" w:type="dxa"/>
            <w:vMerge w:val="restart"/>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科目</w:t>
            </w:r>
          </w:p>
        </w:tc>
        <w:tc>
          <w:tcPr>
            <w:tcW w:w="2288"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2022年3月末</w:t>
            </w:r>
          </w:p>
        </w:tc>
        <w:tc>
          <w:tcPr>
            <w:tcW w:w="2142"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2021年末</w:t>
            </w:r>
          </w:p>
        </w:tc>
        <w:tc>
          <w:tcPr>
            <w:tcW w:w="2142"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2020年末</w:t>
            </w:r>
          </w:p>
        </w:tc>
        <w:tc>
          <w:tcPr>
            <w:tcW w:w="2142"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2019年末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696" w:type="dxa"/>
            <w:vMerge w:val="continue"/>
            <w:vAlign w:val="center"/>
          </w:tcPr>
          <w:p>
            <w:pPr>
              <w:widowControl/>
              <w:rPr>
                <w:rFonts w:hint="default" w:ascii="Times New Roman" w:hAnsi="Times New Roman" w:eastAsia="宋体" w:cs="Times New Roman"/>
                <w:b/>
                <w:bCs/>
                <w:sz w:val="21"/>
                <w:szCs w:val="21"/>
                <w:highlight w:val="none"/>
                <w:lang w:val="en-US" w:eastAsia="zh-CN"/>
              </w:rPr>
            </w:pPr>
          </w:p>
        </w:tc>
        <w:tc>
          <w:tcPr>
            <w:tcW w:w="1217"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1071"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c>
          <w:tcPr>
            <w:tcW w:w="1182"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960"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c>
          <w:tcPr>
            <w:tcW w:w="1166"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976"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c>
          <w:tcPr>
            <w:tcW w:w="1150"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992"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货币资金</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30,860.32</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0.72%</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31,997.12</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0.78%</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5,452.67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0.15%</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7,299.32</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交易性金融资产</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280,407.47</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6.57%</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219,961.67</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5.34%</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103,112.38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2.75%</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37,000.00</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应收票据</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应收账款</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30,255.63</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0.71%</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38,957.25</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0.95%</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28,864.42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0.77%</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15,869.37</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预付款项</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589.34</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0.01%</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479.06</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1,146.81</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0.03%</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598.37</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其他应收款（合计）</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1,221.08</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0.03%</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1,093.40</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0.03%</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1,321.67</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1,318.29 </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其中：应收股利</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499.00</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0.01%</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499.00</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499.00</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499.00</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6" w:type="dxa"/>
            <w:noWrap/>
            <w:vAlign w:val="center"/>
          </w:tcPr>
          <w:p>
            <w:pPr>
              <w:widowControl/>
              <w:ind w:firstLine="420" w:firstLineChars="20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应收利息</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6" w:type="dxa"/>
            <w:noWrap/>
            <w:vAlign w:val="center"/>
          </w:tcPr>
          <w:p>
            <w:pPr>
              <w:widowControl/>
              <w:ind w:firstLine="420" w:firstLineChars="20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其他应收款</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722.08</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0.02%</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594.40</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822.68</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0.02%</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819.29</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存货</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2,066.36</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0.05%</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1,597.11</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1,411.80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1,296.19</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一年内到期的非流动资产</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3,028.42</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其他流动资产</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291,109.44</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6.82%</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327,953.60</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7.96%</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309,503.34</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8.25%</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40,499.86</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6" w:type="dxa"/>
            <w:noWrap/>
            <w:vAlign w:val="center"/>
          </w:tcPr>
          <w:p>
            <w:pPr>
              <w:widowControl/>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流动资产合计</w:t>
            </w:r>
          </w:p>
        </w:tc>
        <w:tc>
          <w:tcPr>
            <w:tcW w:w="121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lang w:eastAsia="zh-CN"/>
              </w:rPr>
              <w:t>636,509.64</w:t>
            </w:r>
          </w:p>
        </w:tc>
        <w:tc>
          <w:tcPr>
            <w:tcW w:w="1071" w:type="dxa"/>
            <w:noWrap/>
            <w:vAlign w:val="center"/>
          </w:tcPr>
          <w:p>
            <w:pPr>
              <w:widowControl/>
              <w:jc w:val="right"/>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bCs/>
                <w:snapToGrid w:val="0"/>
                <w:sz w:val="21"/>
                <w:szCs w:val="21"/>
                <w:highlight w:val="none"/>
                <w:lang w:eastAsia="zh-CN"/>
              </w:rPr>
              <w:t>14.92%</w:t>
            </w:r>
          </w:p>
        </w:tc>
        <w:tc>
          <w:tcPr>
            <w:tcW w:w="118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622,039.21</w:t>
            </w:r>
          </w:p>
        </w:tc>
        <w:tc>
          <w:tcPr>
            <w:tcW w:w="960"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15.09%</w:t>
            </w:r>
          </w:p>
        </w:tc>
        <w:tc>
          <w:tcPr>
            <w:tcW w:w="1166"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450,813.10</w:t>
            </w:r>
          </w:p>
        </w:tc>
        <w:tc>
          <w:tcPr>
            <w:tcW w:w="976"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12.02%</w:t>
            </w:r>
          </w:p>
        </w:tc>
        <w:tc>
          <w:tcPr>
            <w:tcW w:w="1150"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106,909.81</w:t>
            </w:r>
          </w:p>
        </w:tc>
        <w:tc>
          <w:tcPr>
            <w:tcW w:w="99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可供出售金融资产</w:t>
            </w:r>
          </w:p>
        </w:tc>
        <w:tc>
          <w:tcPr>
            <w:tcW w:w="121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其他权益工具投资</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536,077.82</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12.57%</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445,119.96</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10.80%</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406,499.41</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10.84%</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418,831.10</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其他非流动金融资产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长期股权投资</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1,674,771.79</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39.26%</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1,664,094.68</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40.37%</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1,385,209.54</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36.94%</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1,743,716.29</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投资性房地产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　</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固定资产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123,058.66</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2.88%</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126,418.39</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3.07%</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138,142.56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3.68%</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101,037.94</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在建工程</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20,981.00</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0.49%</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19,556.30</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0.47%</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10,233.11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0.27%</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7,811.09</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无形资产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1,219,639.85</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28.59%</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1,243,323.67</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30.16%</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1,353,150.65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36.08%</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939,439.30</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使用权资产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z w:val="21"/>
                <w:szCs w:val="21"/>
                <w:highlight w:val="none"/>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长期待摊费用</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z w:val="21"/>
                <w:szCs w:val="21"/>
                <w:highlight w:val="none"/>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566.04</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递延所得税资产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z w:val="21"/>
                <w:szCs w:val="21"/>
                <w:highlight w:val="none"/>
              </w:rPr>
              <w:t>-</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4,807.78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0.13%</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96" w:type="dxa"/>
            <w:noWrap/>
            <w:vAlign w:val="center"/>
          </w:tcPr>
          <w:p>
            <w:pPr>
              <w:widowControl/>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其他非流动资产</w:t>
            </w:r>
          </w:p>
        </w:tc>
        <w:tc>
          <w:tcPr>
            <w:tcW w:w="1217" w:type="dxa"/>
            <w:noWrap/>
            <w:vAlign w:val="center"/>
          </w:tcPr>
          <w:p>
            <w:pPr>
              <w:widowControl/>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55,010.16</w:t>
            </w:r>
          </w:p>
        </w:tc>
        <w:tc>
          <w:tcPr>
            <w:tcW w:w="1071"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1.29%</w:t>
            </w:r>
          </w:p>
        </w:tc>
        <w:tc>
          <w:tcPr>
            <w:tcW w:w="118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1,309.38</w:t>
            </w:r>
          </w:p>
        </w:tc>
        <w:tc>
          <w:tcPr>
            <w:tcW w:w="96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0.03%</w:t>
            </w:r>
          </w:p>
        </w:tc>
        <w:tc>
          <w:tcPr>
            <w:tcW w:w="116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1,487.98 </w:t>
            </w:r>
          </w:p>
        </w:tc>
        <w:tc>
          <w:tcPr>
            <w:tcW w:w="976"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c>
          <w:tcPr>
            <w:tcW w:w="1150"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190,107.97</w:t>
            </w:r>
          </w:p>
        </w:tc>
        <w:tc>
          <w:tcPr>
            <w:tcW w:w="99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6" w:type="dxa"/>
            <w:noWrap/>
            <w:vAlign w:val="center"/>
          </w:tcPr>
          <w:p>
            <w:pPr>
              <w:widowControl/>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非流动资产合计</w:t>
            </w:r>
          </w:p>
        </w:tc>
        <w:tc>
          <w:tcPr>
            <w:tcW w:w="1217" w:type="dxa"/>
            <w:noWrap/>
            <w:vAlign w:val="center"/>
          </w:tcPr>
          <w:p>
            <w:pPr>
              <w:widowControl/>
              <w:jc w:val="right"/>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3,629,539.29</w:t>
            </w:r>
          </w:p>
        </w:tc>
        <w:tc>
          <w:tcPr>
            <w:tcW w:w="1071" w:type="dxa"/>
            <w:noWrap/>
            <w:vAlign w:val="center"/>
          </w:tcPr>
          <w:p>
            <w:pPr>
              <w:widowControl/>
              <w:jc w:val="right"/>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bCs/>
                <w:snapToGrid w:val="0"/>
                <w:sz w:val="21"/>
                <w:szCs w:val="21"/>
                <w:highlight w:val="none"/>
                <w:lang w:eastAsia="zh-CN"/>
              </w:rPr>
              <w:t>85.08%</w:t>
            </w:r>
          </w:p>
        </w:tc>
        <w:tc>
          <w:tcPr>
            <w:tcW w:w="118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3,499,822.38</w:t>
            </w:r>
          </w:p>
        </w:tc>
        <w:tc>
          <w:tcPr>
            <w:tcW w:w="960"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84.91%</w:t>
            </w:r>
          </w:p>
        </w:tc>
        <w:tc>
          <w:tcPr>
            <w:tcW w:w="1166"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 xml:space="preserve">3,299,531.01 </w:t>
            </w:r>
          </w:p>
        </w:tc>
        <w:tc>
          <w:tcPr>
            <w:tcW w:w="976"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87.98%</w:t>
            </w:r>
          </w:p>
        </w:tc>
        <w:tc>
          <w:tcPr>
            <w:tcW w:w="1150"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3,401,509.72</w:t>
            </w:r>
          </w:p>
        </w:tc>
        <w:tc>
          <w:tcPr>
            <w:tcW w:w="99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96.95%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96" w:type="dxa"/>
            <w:noWrap/>
            <w:vAlign w:val="center"/>
          </w:tcPr>
          <w:p>
            <w:pPr>
              <w:widowControl/>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资产总计</w:t>
            </w:r>
          </w:p>
        </w:tc>
        <w:tc>
          <w:tcPr>
            <w:tcW w:w="1217" w:type="dxa"/>
            <w:noWrap/>
            <w:vAlign w:val="center"/>
          </w:tcPr>
          <w:p>
            <w:pPr>
              <w:widowControl/>
              <w:jc w:val="right"/>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4,266,048.94</w:t>
            </w:r>
          </w:p>
        </w:tc>
        <w:tc>
          <w:tcPr>
            <w:tcW w:w="1071" w:type="dxa"/>
            <w:noWrap/>
            <w:vAlign w:val="center"/>
          </w:tcPr>
          <w:p>
            <w:pPr>
              <w:widowControl/>
              <w:jc w:val="right"/>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bCs/>
                <w:snapToGrid w:val="0"/>
                <w:sz w:val="21"/>
                <w:szCs w:val="21"/>
                <w:highlight w:val="none"/>
                <w:lang w:eastAsia="zh-CN"/>
              </w:rPr>
              <w:t>100.00%</w:t>
            </w:r>
          </w:p>
        </w:tc>
        <w:tc>
          <w:tcPr>
            <w:tcW w:w="118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4,121,861.59</w:t>
            </w:r>
          </w:p>
        </w:tc>
        <w:tc>
          <w:tcPr>
            <w:tcW w:w="960"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100.00%</w:t>
            </w:r>
          </w:p>
        </w:tc>
        <w:tc>
          <w:tcPr>
            <w:tcW w:w="1166"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 xml:space="preserve">3,750,344.11 </w:t>
            </w:r>
          </w:p>
        </w:tc>
        <w:tc>
          <w:tcPr>
            <w:tcW w:w="976"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100.00%</w:t>
            </w:r>
          </w:p>
        </w:tc>
        <w:tc>
          <w:tcPr>
            <w:tcW w:w="1150"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3,508,419.53</w:t>
            </w:r>
          </w:p>
        </w:tc>
        <w:tc>
          <w:tcPr>
            <w:tcW w:w="99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100.00%</w:t>
            </w:r>
          </w:p>
        </w:tc>
      </w:tr>
    </w:tbl>
    <w:p>
      <w:pPr>
        <w:pStyle w:val="24"/>
        <w:adjustRightInd w:val="0"/>
        <w:snapToGri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p>
    <w:p>
      <w:pPr>
        <w:pStyle w:val="24"/>
        <w:adjustRightInd w:val="0"/>
        <w:snapToGri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最近三年及一期末，母公司资产总额分别为</w:t>
      </w:r>
      <w:r>
        <w:rPr>
          <w:rFonts w:hint="default" w:ascii="Times New Roman" w:hAnsi="Times New Roman" w:eastAsia="宋体" w:cs="Times New Roman"/>
          <w:color w:val="000000"/>
          <w:sz w:val="24"/>
          <w:szCs w:val="24"/>
          <w:highlight w:val="none"/>
          <w:lang w:val="zh-TW"/>
        </w:rPr>
        <w:t>3,508,419.53</w:t>
      </w:r>
      <w:r>
        <w:rPr>
          <w:rStyle w:val="23"/>
          <w:rFonts w:hint="default" w:ascii="Times New Roman" w:hAnsi="Times New Roman" w:eastAsia="宋体" w:cs="Times New Roman"/>
          <w:color w:val="000000"/>
          <w:sz w:val="24"/>
          <w:szCs w:val="24"/>
          <w:highlight w:val="none"/>
          <w:lang w:val="zh-TW"/>
        </w:rPr>
        <w:t>万元、</w:t>
      </w:r>
      <w:r>
        <w:rPr>
          <w:rFonts w:hint="default" w:ascii="Times New Roman" w:hAnsi="Times New Roman" w:eastAsia="宋体" w:cs="Times New Roman"/>
          <w:bCs/>
          <w:color w:val="000000"/>
          <w:sz w:val="24"/>
          <w:szCs w:val="24"/>
          <w:highlight w:val="none"/>
          <w:lang w:val="zh-TW"/>
        </w:rPr>
        <w:t>3,750,344.11</w:t>
      </w:r>
      <w:r>
        <w:rPr>
          <w:rStyle w:val="23"/>
          <w:rFonts w:hint="default" w:ascii="Times New Roman" w:hAnsi="Times New Roman" w:eastAsia="宋体" w:cs="Times New Roman"/>
          <w:color w:val="000000"/>
          <w:sz w:val="24"/>
          <w:szCs w:val="24"/>
          <w:highlight w:val="none"/>
          <w:lang w:val="zh-TW"/>
        </w:rPr>
        <w:t>万元、</w:t>
      </w:r>
      <w:r>
        <w:rPr>
          <w:rFonts w:hint="default" w:ascii="Times New Roman" w:hAnsi="Times New Roman" w:eastAsia="宋体" w:cs="Times New Roman"/>
          <w:bCs/>
          <w:color w:val="000000"/>
          <w:sz w:val="24"/>
          <w:szCs w:val="24"/>
          <w:highlight w:val="none"/>
          <w:lang w:val="zh-TW"/>
        </w:rPr>
        <w:t>4,121,861.59</w:t>
      </w:r>
      <w:r>
        <w:rPr>
          <w:rStyle w:val="23"/>
          <w:rFonts w:hint="default" w:ascii="Times New Roman" w:hAnsi="Times New Roman" w:eastAsia="宋体" w:cs="Times New Roman"/>
          <w:color w:val="000000"/>
          <w:sz w:val="24"/>
          <w:szCs w:val="24"/>
          <w:highlight w:val="none"/>
          <w:lang w:val="zh-TW"/>
        </w:rPr>
        <w:t>万元和4,266,048.94万元，呈上升趋势。2020年母公司</w:t>
      </w:r>
      <w:r>
        <w:rPr>
          <w:rFonts w:hint="default" w:ascii="Times New Roman" w:hAnsi="Times New Roman" w:eastAsia="宋体" w:cs="Times New Roman"/>
          <w:bCs/>
          <w:color w:val="000000"/>
          <w:sz w:val="24"/>
          <w:szCs w:val="24"/>
          <w:highlight w:val="none"/>
          <w:lang w:val="zh-TW"/>
        </w:rPr>
        <w:t>总资产较上年同期增长6.90%，基本保持稳定。</w:t>
      </w:r>
      <w:r>
        <w:rPr>
          <w:rStyle w:val="23"/>
          <w:rFonts w:hint="default" w:ascii="Times New Roman" w:hAnsi="Times New Roman" w:eastAsia="宋体" w:cs="Times New Roman"/>
          <w:color w:val="000000"/>
          <w:sz w:val="24"/>
          <w:szCs w:val="24"/>
          <w:highlight w:val="none"/>
          <w:lang w:val="zh-TW"/>
        </w:rPr>
        <w:t>2021年母公司资产规模较年初增幅9.91%，</w:t>
      </w:r>
      <w:r>
        <w:rPr>
          <w:rFonts w:hint="default" w:ascii="Times New Roman" w:hAnsi="Times New Roman" w:eastAsia="宋体" w:cs="Times New Roman"/>
          <w:bCs/>
          <w:color w:val="000000"/>
          <w:sz w:val="24"/>
          <w:szCs w:val="24"/>
          <w:highlight w:val="none"/>
          <w:lang w:val="zh-TW"/>
        </w:rPr>
        <w:t>基本保持稳定</w:t>
      </w:r>
      <w:r>
        <w:rPr>
          <w:rStyle w:val="23"/>
          <w:rFonts w:hint="default" w:ascii="Times New Roman" w:hAnsi="Times New Roman" w:eastAsia="宋体" w:cs="Times New Roman"/>
          <w:color w:val="000000"/>
          <w:sz w:val="24"/>
          <w:szCs w:val="24"/>
          <w:highlight w:val="none"/>
          <w:lang w:val="zh-TW"/>
        </w:rPr>
        <w:t>。</w:t>
      </w:r>
    </w:p>
    <w:p>
      <w:pPr>
        <w:pStyle w:val="24"/>
        <w:adjustRightInd w:val="0"/>
        <w:snapToGrid w:val="0"/>
        <w:spacing w:before="0" w:line="360" w:lineRule="auto"/>
        <w:ind w:firstLine="482" w:firstLineChars="200"/>
        <w:jc w:val="both"/>
        <w:rPr>
          <w:rStyle w:val="23"/>
          <w:rFonts w:hint="default" w:ascii="Times New Roman" w:hAnsi="Times New Roman" w:eastAsia="宋体" w:cs="Times New Roman"/>
          <w:b/>
          <w:bCs/>
          <w:color w:val="000000"/>
          <w:sz w:val="24"/>
          <w:szCs w:val="24"/>
          <w:highlight w:val="none"/>
          <w:lang w:val="zh-TW"/>
        </w:rPr>
      </w:pPr>
      <w:r>
        <w:rPr>
          <w:rStyle w:val="23"/>
          <w:rFonts w:hint="default" w:ascii="Times New Roman" w:hAnsi="Times New Roman" w:eastAsia="宋体" w:cs="Times New Roman"/>
          <w:b/>
          <w:bCs/>
          <w:color w:val="000000"/>
          <w:sz w:val="24"/>
          <w:szCs w:val="24"/>
          <w:highlight w:val="none"/>
          <w:lang w:val="zh-TW"/>
        </w:rPr>
        <w:t>2、负债结构分析</w:t>
      </w:r>
    </w:p>
    <w:p>
      <w:pPr>
        <w:pStyle w:val="24"/>
        <w:adjustRightInd w:val="0"/>
        <w:snapToGri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最近三年及一期末，母公司负债的构成情况如下：</w:t>
      </w:r>
    </w:p>
    <w:p>
      <w:pPr>
        <w:tabs>
          <w:tab w:val="left" w:pos="6501"/>
        </w:tabs>
        <w:jc w:val="right"/>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单位：万元</w:t>
      </w:r>
    </w:p>
    <w:tbl>
      <w:tblPr>
        <w:tblStyle w:val="11"/>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252"/>
        <w:gridCol w:w="998"/>
        <w:gridCol w:w="1237"/>
        <w:gridCol w:w="889"/>
        <w:gridCol w:w="1237"/>
        <w:gridCol w:w="889"/>
        <w:gridCol w:w="123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科目</w:t>
            </w:r>
          </w:p>
        </w:tc>
        <w:tc>
          <w:tcPr>
            <w:tcW w:w="2250"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2022年3月末</w:t>
            </w:r>
          </w:p>
        </w:tc>
        <w:tc>
          <w:tcPr>
            <w:tcW w:w="2126"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2021年末</w:t>
            </w:r>
          </w:p>
        </w:tc>
        <w:tc>
          <w:tcPr>
            <w:tcW w:w="2126"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2020年末</w:t>
            </w:r>
          </w:p>
        </w:tc>
        <w:tc>
          <w:tcPr>
            <w:tcW w:w="2127" w:type="dxa"/>
            <w:gridSpan w:val="2"/>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2019年末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p>
        </w:tc>
        <w:tc>
          <w:tcPr>
            <w:tcW w:w="1252"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998"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c>
          <w:tcPr>
            <w:tcW w:w="1237"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889"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c>
          <w:tcPr>
            <w:tcW w:w="1237"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889"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c>
          <w:tcPr>
            <w:tcW w:w="1238"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金额</w:t>
            </w:r>
          </w:p>
        </w:tc>
        <w:tc>
          <w:tcPr>
            <w:tcW w:w="889"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短期借款</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95,088.23</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5.95%</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45,043.31</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2.83%</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56,053.90</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4.14%</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202,232.09</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应付票据</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应付账款</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38,057.59</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2.38%</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57,654.07</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3.62%</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66,181.25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4.89%</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58,959.17</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预收款项</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703.02</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0.04%</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554.68</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0.03%</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314.35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0.02%</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467.96</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合同负债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应付职工薪酬</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177.34</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0.01%</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163.59</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118.17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102.38</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应交税费</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13,134.53</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0.82%</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9,221.57</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0.58%</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3,582.25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0.26%</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2,606.80</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其他应付款</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21,763.14</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1.36%</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21,422.98</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1.34%</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17,736.65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1.31%</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15,443.45</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其中：应付利息</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应付股利</w:t>
            </w:r>
          </w:p>
        </w:tc>
        <w:tc>
          <w:tcPr>
            <w:tcW w:w="1252" w:type="dxa"/>
            <w:noWrap/>
            <w:vAlign w:val="center"/>
          </w:tcPr>
          <w:p>
            <w:pPr>
              <w:widowControl/>
              <w:jc w:val="right"/>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napToGrid w:val="0"/>
                <w:sz w:val="21"/>
                <w:szCs w:val="21"/>
                <w:highlight w:val="none"/>
                <w:lang w:eastAsia="zh-CN"/>
              </w:rPr>
              <w:t>9,554.3</w:t>
            </w:r>
            <w:r>
              <w:rPr>
                <w:rFonts w:hint="default" w:ascii="Times New Roman" w:hAnsi="Times New Roman" w:eastAsia="宋体" w:cs="Times New Roman"/>
                <w:snapToGrid w:val="0"/>
                <w:sz w:val="21"/>
                <w:szCs w:val="21"/>
                <w:highlight w:val="none"/>
              </w:rPr>
              <w:t>4</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0.60%</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8,897.91</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一年内到期的非流动负债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10,874.11</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0.68%</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9,013.26</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0.57%</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105,667.81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7.81%</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305,517.60</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其他流动负债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710,423.42</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44.42%</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763,828.29</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47.94%</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825,707.85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61.01%</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499,888.42</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流动负债合计</w:t>
            </w:r>
          </w:p>
        </w:tc>
        <w:tc>
          <w:tcPr>
            <w:tcW w:w="125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890,221.37</w:t>
            </w:r>
          </w:p>
        </w:tc>
        <w:tc>
          <w:tcPr>
            <w:tcW w:w="998" w:type="dxa"/>
            <w:noWrap/>
            <w:vAlign w:val="center"/>
          </w:tcPr>
          <w:p>
            <w:pPr>
              <w:widowControl/>
              <w:jc w:val="right"/>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bCs/>
                <w:snapToGrid w:val="0"/>
                <w:sz w:val="21"/>
                <w:szCs w:val="21"/>
                <w:highlight w:val="none"/>
                <w:lang w:eastAsia="zh-CN"/>
              </w:rPr>
              <w:t>55.66%</w:t>
            </w:r>
          </w:p>
        </w:tc>
        <w:tc>
          <w:tcPr>
            <w:tcW w:w="123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906,901.74</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56.91%</w:t>
            </w:r>
          </w:p>
        </w:tc>
        <w:tc>
          <w:tcPr>
            <w:tcW w:w="123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 xml:space="preserve">1,075,362.23 </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79.46%</w:t>
            </w:r>
          </w:p>
        </w:tc>
        <w:tc>
          <w:tcPr>
            <w:tcW w:w="1238"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1,085,217.88</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90.38%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长期借款</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100,902.79</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6.31%</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100,990.17</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6.34%</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71,131.63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5.26%</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1,382.74</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应付债券</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577,887.83</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36.13%</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577,741.90</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36.26%</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198,460.64 </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14.66%</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99,746.09</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租赁负债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递延收益-非流动负债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7,138.53</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0.45%</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7,388.66</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0.46%</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8,461.09</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0.63%</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预计负债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递延所得税负债</w:t>
            </w:r>
          </w:p>
        </w:tc>
        <w:tc>
          <w:tcPr>
            <w:tcW w:w="1252"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lang w:eastAsia="zh-CN"/>
              </w:rPr>
              <w:t>23,156.44</w:t>
            </w:r>
          </w:p>
        </w:tc>
        <w:tc>
          <w:tcPr>
            <w:tcW w:w="998" w:type="dxa"/>
            <w:noWrap/>
            <w:vAlign w:val="center"/>
          </w:tcPr>
          <w:p>
            <w:pPr>
              <w:widowControl/>
              <w:jc w:val="right"/>
              <w:rPr>
                <w:rFonts w:hint="default" w:ascii="Times New Roman" w:hAnsi="Times New Roman" w:eastAsia="宋体" w:cs="Times New Roman"/>
                <w:snapToGrid w:val="0"/>
                <w:sz w:val="21"/>
                <w:szCs w:val="21"/>
                <w:highlight w:val="none"/>
                <w:lang w:eastAsia="zh-CN"/>
              </w:rPr>
            </w:pPr>
            <w:r>
              <w:rPr>
                <w:rFonts w:hint="default" w:ascii="Times New Roman" w:hAnsi="Times New Roman" w:eastAsia="宋体" w:cs="Times New Roman"/>
                <w:snapToGrid w:val="0"/>
                <w:sz w:val="21"/>
                <w:szCs w:val="21"/>
                <w:highlight w:val="none"/>
                <w:lang w:eastAsia="zh-CN"/>
              </w:rPr>
              <w:t>1.45%</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416.98</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0.03%</w:t>
            </w:r>
          </w:p>
        </w:tc>
        <w:tc>
          <w:tcPr>
            <w:tcW w:w="1237"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w:t>
            </w:r>
          </w:p>
        </w:tc>
        <w:tc>
          <w:tcPr>
            <w:tcW w:w="1238"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14,420.04</w:t>
            </w:r>
          </w:p>
        </w:tc>
        <w:tc>
          <w:tcPr>
            <w:tcW w:w="889" w:type="dxa"/>
            <w:noWrap/>
            <w:vAlign w:val="center"/>
          </w:tcPr>
          <w:p>
            <w:pPr>
              <w:widowControl/>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非流动负债合计</w:t>
            </w:r>
          </w:p>
        </w:tc>
        <w:tc>
          <w:tcPr>
            <w:tcW w:w="125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lang w:eastAsia="zh-CN"/>
              </w:rPr>
              <w:t>709,085.59</w:t>
            </w:r>
          </w:p>
        </w:tc>
        <w:tc>
          <w:tcPr>
            <w:tcW w:w="998" w:type="dxa"/>
            <w:noWrap/>
            <w:vAlign w:val="center"/>
          </w:tcPr>
          <w:p>
            <w:pPr>
              <w:widowControl/>
              <w:jc w:val="right"/>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bCs/>
                <w:snapToGrid w:val="0"/>
                <w:sz w:val="21"/>
                <w:szCs w:val="21"/>
                <w:highlight w:val="none"/>
                <w:lang w:eastAsia="zh-CN"/>
              </w:rPr>
              <w:t>44.34%</w:t>
            </w:r>
          </w:p>
        </w:tc>
        <w:tc>
          <w:tcPr>
            <w:tcW w:w="123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686,537.70</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43.09%</w:t>
            </w:r>
          </w:p>
        </w:tc>
        <w:tc>
          <w:tcPr>
            <w:tcW w:w="123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 xml:space="preserve">278,053.36 </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20.54%</w:t>
            </w:r>
          </w:p>
        </w:tc>
        <w:tc>
          <w:tcPr>
            <w:tcW w:w="1238"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115,548.88</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noWrap/>
            <w:vAlign w:val="center"/>
          </w:tcPr>
          <w:p>
            <w:pPr>
              <w:widowControl/>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负债合计</w:t>
            </w:r>
          </w:p>
        </w:tc>
        <w:tc>
          <w:tcPr>
            <w:tcW w:w="1252"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lang w:eastAsia="zh-CN"/>
              </w:rPr>
              <w:t>1,599,306.96</w:t>
            </w:r>
          </w:p>
        </w:tc>
        <w:tc>
          <w:tcPr>
            <w:tcW w:w="998" w:type="dxa"/>
            <w:noWrap/>
            <w:vAlign w:val="center"/>
          </w:tcPr>
          <w:p>
            <w:pPr>
              <w:widowControl/>
              <w:jc w:val="right"/>
              <w:rPr>
                <w:rFonts w:hint="default" w:ascii="Times New Roman" w:hAnsi="Times New Roman" w:eastAsia="宋体" w:cs="Times New Roman"/>
                <w:b/>
                <w:bCs/>
                <w:snapToGrid w:val="0"/>
                <w:sz w:val="21"/>
                <w:szCs w:val="21"/>
                <w:highlight w:val="none"/>
                <w:lang w:eastAsia="zh-CN"/>
              </w:rPr>
            </w:pPr>
            <w:r>
              <w:rPr>
                <w:rFonts w:hint="default" w:ascii="Times New Roman" w:hAnsi="Times New Roman" w:eastAsia="宋体" w:cs="Times New Roman"/>
                <w:b/>
                <w:bCs/>
                <w:snapToGrid w:val="0"/>
                <w:sz w:val="21"/>
                <w:szCs w:val="21"/>
                <w:highlight w:val="none"/>
                <w:lang w:eastAsia="zh-CN"/>
              </w:rPr>
              <w:t>100.00%</w:t>
            </w:r>
          </w:p>
        </w:tc>
        <w:tc>
          <w:tcPr>
            <w:tcW w:w="123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1,593,439.45</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100.00%</w:t>
            </w:r>
          </w:p>
        </w:tc>
        <w:tc>
          <w:tcPr>
            <w:tcW w:w="1237"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 xml:space="preserve">1,353,415.59 </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100.00%</w:t>
            </w:r>
          </w:p>
        </w:tc>
        <w:tc>
          <w:tcPr>
            <w:tcW w:w="1238"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1,200,766.76</w:t>
            </w:r>
          </w:p>
        </w:tc>
        <w:tc>
          <w:tcPr>
            <w:tcW w:w="889" w:type="dxa"/>
            <w:noWrap/>
            <w:vAlign w:val="center"/>
          </w:tcPr>
          <w:p>
            <w:pPr>
              <w:widowControl/>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z w:val="21"/>
                <w:szCs w:val="21"/>
                <w:highlight w:val="none"/>
              </w:rPr>
              <w:t>100.00%</w:t>
            </w:r>
          </w:p>
        </w:tc>
      </w:tr>
    </w:tbl>
    <w:p>
      <w:pPr>
        <w:pStyle w:val="24"/>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Style w:val="23"/>
          <w:rFonts w:hint="default" w:ascii="Times New Roman" w:hAnsi="Times New Roman" w:eastAsia="宋体" w:cs="Times New Roman"/>
          <w:color w:val="000000"/>
          <w:sz w:val="24"/>
          <w:szCs w:val="24"/>
          <w:highlight w:val="none"/>
          <w:lang w:val="zh-TW"/>
        </w:rPr>
      </w:pPr>
    </w:p>
    <w:p>
      <w:pPr>
        <w:pStyle w:val="24"/>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近三年及一期末，母公司负债总额分别为</w:t>
      </w:r>
      <w:r>
        <w:rPr>
          <w:rFonts w:hint="default" w:ascii="Times New Roman" w:hAnsi="Times New Roman" w:eastAsia="宋体" w:cs="Times New Roman"/>
          <w:color w:val="000000"/>
          <w:sz w:val="24"/>
          <w:szCs w:val="24"/>
          <w:highlight w:val="none"/>
          <w:lang w:val="zh-TW"/>
        </w:rPr>
        <w:t>1,200,766.76</w:t>
      </w:r>
      <w:r>
        <w:rPr>
          <w:rStyle w:val="23"/>
          <w:rFonts w:hint="default" w:ascii="Times New Roman" w:hAnsi="Times New Roman" w:eastAsia="宋体" w:cs="Times New Roman"/>
          <w:color w:val="000000"/>
          <w:sz w:val="24"/>
          <w:szCs w:val="24"/>
          <w:highlight w:val="none"/>
          <w:lang w:val="zh-TW"/>
        </w:rPr>
        <w:t>万元、1,353,415.59万元、1,593,439.45万元和1,599,306.96万元。截至2020年末，母公司负债总额1,353,415.59万元，较年初增加152,648.83万元，主要系应付账款、其他流动负债、长期借款、应付债券大幅上升。截至2021年末，母公司负债总额1,593,439.45万元，较年初增加240,023.86万元，主要系应付债券大幅上升。从结构来看，近三年及一期末，母公司流动负债占各期负债总额的比重分别为90.38%、79.46%、56.91%、55.66%；同期末，非流动负债占比分别为9.62%、20.54%、43.09%、44.34%。</w:t>
      </w:r>
    </w:p>
    <w:p>
      <w:pPr>
        <w:pStyle w:val="24"/>
        <w:adjustRightInd w:val="0"/>
        <w:snapToGrid w:val="0"/>
        <w:spacing w:before="0" w:line="360" w:lineRule="auto"/>
        <w:ind w:firstLine="482" w:firstLineChars="200"/>
        <w:jc w:val="both"/>
        <w:rPr>
          <w:rStyle w:val="23"/>
          <w:rFonts w:hint="default" w:ascii="Times New Roman" w:hAnsi="Times New Roman" w:eastAsia="宋体" w:cs="Times New Roman"/>
          <w:b/>
          <w:bCs/>
          <w:color w:val="000000"/>
          <w:sz w:val="24"/>
          <w:szCs w:val="24"/>
          <w:highlight w:val="none"/>
          <w:lang w:val="zh-TW"/>
        </w:rPr>
      </w:pPr>
      <w:r>
        <w:rPr>
          <w:rStyle w:val="23"/>
          <w:rFonts w:hint="default" w:ascii="Times New Roman" w:hAnsi="Times New Roman" w:eastAsia="宋体" w:cs="Times New Roman"/>
          <w:b/>
          <w:bCs/>
          <w:color w:val="000000"/>
          <w:sz w:val="24"/>
          <w:szCs w:val="24"/>
          <w:highlight w:val="none"/>
          <w:lang w:val="zh-TW"/>
        </w:rPr>
        <w:t>3、现金流量分析</w:t>
      </w:r>
    </w:p>
    <w:p>
      <w:pPr>
        <w:pStyle w:val="24"/>
        <w:adjustRightInd w:val="0"/>
        <w:snapToGri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母公司最近三年及一期末现金流量情况如下：</w:t>
      </w:r>
    </w:p>
    <w:p>
      <w:pPr>
        <w:pStyle w:val="24"/>
        <w:adjustRightInd w:val="0"/>
        <w:snapToGrid w:val="0"/>
        <w:spacing w:before="0" w:line="360" w:lineRule="auto"/>
        <w:ind w:firstLine="480" w:firstLineChars="200"/>
        <w:jc w:val="right"/>
        <w:rPr>
          <w:rStyle w:val="23"/>
          <w:rFonts w:hint="default" w:ascii="Times New Roman" w:hAnsi="Times New Roman" w:eastAsia="宋体" w:cs="Times New Roman"/>
          <w:color w:val="000000"/>
          <w:sz w:val="24"/>
          <w:szCs w:val="24"/>
          <w:highlight w:val="none"/>
          <w:lang w:val="zh-TW" w:eastAsia="zh-TW"/>
        </w:rPr>
      </w:pPr>
      <w:r>
        <w:rPr>
          <w:rStyle w:val="23"/>
          <w:rFonts w:hint="default" w:ascii="Times New Roman" w:hAnsi="Times New Roman" w:eastAsia="宋体" w:cs="Times New Roman"/>
          <w:color w:val="000000"/>
          <w:sz w:val="24"/>
          <w:szCs w:val="24"/>
          <w:highlight w:val="none"/>
          <w:lang w:val="zh-TW" w:eastAsia="zh-TW"/>
        </w:rPr>
        <w:t>单位：万元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3"/>
        <w:gridCol w:w="1502"/>
        <w:gridCol w:w="1337"/>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科目</w:t>
            </w:r>
          </w:p>
        </w:tc>
        <w:tc>
          <w:tcPr>
            <w:tcW w:w="1502" w:type="dxa"/>
            <w:noWrap/>
            <w:vAlign w:val="center"/>
          </w:tcPr>
          <w:p>
            <w:pPr>
              <w:widowControl/>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2022年1-3月</w:t>
            </w:r>
          </w:p>
        </w:tc>
        <w:tc>
          <w:tcPr>
            <w:tcW w:w="1337" w:type="dxa"/>
            <w:noWrap/>
            <w:vAlign w:val="center"/>
          </w:tcPr>
          <w:p>
            <w:pPr>
              <w:widowControl/>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2021年度</w:t>
            </w:r>
          </w:p>
        </w:tc>
        <w:tc>
          <w:tcPr>
            <w:tcW w:w="1337" w:type="dxa"/>
            <w:noWrap/>
            <w:vAlign w:val="center"/>
          </w:tcPr>
          <w:p>
            <w:pPr>
              <w:widowControl/>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2020年度</w:t>
            </w:r>
          </w:p>
        </w:tc>
        <w:tc>
          <w:tcPr>
            <w:tcW w:w="1337" w:type="dxa"/>
            <w:noWrap/>
            <w:vAlign w:val="center"/>
          </w:tcPr>
          <w:p>
            <w:pPr>
              <w:widowControl/>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经营活动现金流入小计</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189,918.94</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797,554.67</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621,955.58</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693,080.22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经营活动现金流出小计</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97,969.98</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373,998.05</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 xml:space="preserve">314,166.20 </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330,877.78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经营活动产生的现金流量净额</w:t>
            </w:r>
          </w:p>
        </w:tc>
        <w:tc>
          <w:tcPr>
            <w:tcW w:w="1502"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91,948.96</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423,556.62</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 xml:space="preserve">307,789.38 </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362,202.43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投资活动现金流入小计</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294,429.77</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3,139,062.93</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 xml:space="preserve">614,965.67 </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657,251.57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投资活动现金流出小计</w:t>
            </w:r>
          </w:p>
        </w:tc>
        <w:tc>
          <w:tcPr>
            <w:tcW w:w="1502" w:type="dxa"/>
            <w:noWrap/>
            <w:vAlign w:val="center"/>
          </w:tcPr>
          <w:p>
            <w:pPr>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376,752.92</w:t>
            </w:r>
          </w:p>
        </w:tc>
        <w:tc>
          <w:tcPr>
            <w:tcW w:w="1337" w:type="dxa"/>
            <w:noWrap/>
            <w:vAlign w:val="center"/>
          </w:tcPr>
          <w:p>
            <w:pPr>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bCs/>
                <w:snapToGrid w:val="0"/>
                <w:sz w:val="21"/>
                <w:szCs w:val="21"/>
                <w:highlight w:val="none"/>
              </w:rPr>
              <w:t>3,505,959.70</w:t>
            </w:r>
          </w:p>
        </w:tc>
        <w:tc>
          <w:tcPr>
            <w:tcW w:w="1337" w:type="dxa"/>
            <w:noWrap/>
            <w:vAlign w:val="center"/>
          </w:tcPr>
          <w:p>
            <w:pPr>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bCs/>
                <w:snapToGrid w:val="0"/>
                <w:sz w:val="21"/>
                <w:szCs w:val="21"/>
                <w:highlight w:val="none"/>
              </w:rPr>
              <w:t xml:space="preserve">886,848.61 </w:t>
            </w:r>
          </w:p>
        </w:tc>
        <w:tc>
          <w:tcPr>
            <w:tcW w:w="1337" w:type="dxa"/>
            <w:noWrap/>
            <w:vAlign w:val="center"/>
          </w:tcPr>
          <w:p>
            <w:pPr>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napToGrid w:val="0"/>
                <w:sz w:val="21"/>
                <w:szCs w:val="21"/>
                <w:highlight w:val="none"/>
              </w:rPr>
              <w:t>1,066,741.28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投资活动产生的现金流量净额</w:t>
            </w:r>
          </w:p>
        </w:tc>
        <w:tc>
          <w:tcPr>
            <w:tcW w:w="1502"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-82,323.15</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-366,896.78</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 xml:space="preserve">-271,882.94 </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-409,489.71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筹资活动现金流入小计</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702,560.02</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2,334,648.10</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 xml:space="preserve">2,454,350.00 </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1,138,000.00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筹资活动现金流出小计</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713,322.63</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2,364,763.48</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2,492,103.10</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1,093,506.54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筹资活动产生的现金流量净额</w:t>
            </w:r>
          </w:p>
        </w:tc>
        <w:tc>
          <w:tcPr>
            <w:tcW w:w="1502"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-10,762.61</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-30,115.39</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 xml:space="preserve">-37,753.10 </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44,493.46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现金及现金等价物净增加额</w:t>
            </w:r>
          </w:p>
        </w:tc>
        <w:tc>
          <w:tcPr>
            <w:tcW w:w="1502"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-1,136.80</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26,544.45</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napToGrid w:val="0"/>
                <w:sz w:val="21"/>
                <w:szCs w:val="21"/>
                <w:highlight w:val="none"/>
              </w:rPr>
              <w:t xml:space="preserve">-1,846.65 </w:t>
            </w:r>
          </w:p>
        </w:tc>
        <w:tc>
          <w:tcPr>
            <w:tcW w:w="1337" w:type="dxa"/>
            <w:noWrap/>
            <w:vAlign w:val="center"/>
          </w:tcPr>
          <w:p>
            <w:pPr>
              <w:widowControl/>
              <w:adjustRightInd w:val="0"/>
              <w:snapToGrid w:val="0"/>
              <w:jc w:val="right"/>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snapToGrid w:val="0"/>
                <w:sz w:val="21"/>
                <w:szCs w:val="21"/>
                <w:highlight w:val="none"/>
              </w:rPr>
              <w:t>-2,793.82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期初现金及现金等价物余额</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31,997.12</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5,452.67</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 xml:space="preserve">7,299.32 </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10,093.14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03" w:type="dxa"/>
            <w:noWrap/>
            <w:vAlign w:val="center"/>
          </w:tcPr>
          <w:p>
            <w:pPr>
              <w:widowControl/>
              <w:adjustRightInd w:val="0"/>
              <w:snapToGrid w:val="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期末现金及现金等价物余额</w:t>
            </w:r>
          </w:p>
        </w:tc>
        <w:tc>
          <w:tcPr>
            <w:tcW w:w="1502"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30,860.32</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31,997.12</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napToGrid w:val="0"/>
                <w:sz w:val="21"/>
                <w:szCs w:val="21"/>
                <w:highlight w:val="none"/>
              </w:rPr>
              <w:t>5,452.67</w:t>
            </w:r>
          </w:p>
        </w:tc>
        <w:tc>
          <w:tcPr>
            <w:tcW w:w="1337" w:type="dxa"/>
            <w:noWrap/>
            <w:vAlign w:val="center"/>
          </w:tcPr>
          <w:p>
            <w:pPr>
              <w:widowControl/>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napToGrid w:val="0"/>
                <w:sz w:val="21"/>
                <w:szCs w:val="21"/>
                <w:highlight w:val="none"/>
              </w:rPr>
              <w:t>7,299.32</w:t>
            </w:r>
          </w:p>
        </w:tc>
      </w:tr>
    </w:tbl>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近三年及一期，母公司经营活动产生的现金流量净额分别为362,202.43万元、</w:t>
      </w:r>
      <w:r>
        <w:rPr>
          <w:rFonts w:hint="default" w:ascii="Times New Roman" w:hAnsi="Times New Roman" w:eastAsia="宋体" w:cs="Times New Roman"/>
          <w:bCs/>
          <w:sz w:val="24"/>
          <w:szCs w:val="24"/>
          <w:highlight w:val="none"/>
        </w:rPr>
        <w:t>307,789.38</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rPr>
        <w:t>423,556.62</w:t>
      </w:r>
      <w:r>
        <w:rPr>
          <w:rFonts w:hint="default" w:ascii="Times New Roman" w:hAnsi="Times New Roman" w:eastAsia="宋体" w:cs="Times New Roman"/>
          <w:sz w:val="24"/>
          <w:szCs w:val="24"/>
          <w:highlight w:val="none"/>
        </w:rPr>
        <w:t>万元和91,948.96万元，母公司的主营业务以高速公路通行费收入为主，由于通行费收缴大部分以现金方式结算，因此母公司的经营现金流入状况比较良好。2020年度，经营活动现金流净额较上年同期下降15.02%，主要由于受疫情和免费通行政策的影响，通行费收入同比减少，导致经营活动产生的现金流量净额同比大幅下降。2021年度，受到通行费收入强劲恢复影响，母公司经营活动现金流净额较上年增长37.61%。</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近三年及一期，母公司投资活动产生的现金流量净额分别为</w:t>
      </w:r>
      <w:r>
        <w:rPr>
          <w:rFonts w:hint="default" w:ascii="Times New Roman" w:hAnsi="Times New Roman" w:eastAsia="宋体" w:cs="Times New Roman"/>
          <w:sz w:val="24"/>
          <w:szCs w:val="24"/>
          <w:highlight w:val="none"/>
          <w:lang w:val="zh-TW"/>
        </w:rPr>
        <w:t>-409,489.71</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lang w:val="zh-TW"/>
        </w:rPr>
        <w:t>-271,882.94</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lang w:val="zh-TW"/>
        </w:rPr>
        <w:t>-366,896.78</w:t>
      </w:r>
      <w:r>
        <w:rPr>
          <w:rFonts w:hint="default" w:ascii="Times New Roman" w:hAnsi="Times New Roman" w:eastAsia="宋体" w:cs="Times New Roman"/>
          <w:sz w:val="24"/>
          <w:szCs w:val="24"/>
          <w:highlight w:val="none"/>
        </w:rPr>
        <w:t>万元和-82,323.15万元，投资活动产生的现金流量净额均为负，主要系公司购建固定资产所致。2020年投资活动现金流净额较上年同期增长33.60%，主要由于购买理财产品的现金净流出、投资富安达资管计划等对外投资支出同比下降，导致投资活动产生的现金净流出额同比减少。2021年，因对在建路桥项目的建设投入及购买理财产品等投资支出同比增加，导致投资活动产生的现金净流出额同比增长34.95%。</w:t>
      </w:r>
    </w:p>
    <w:p>
      <w:pPr>
        <w:shd w:val="clear" w:color="auto" w:fill="FFFFFF"/>
        <w:adjustRightInd w:val="0"/>
        <w:spacing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近三年及一期，母公司筹资活动产生的现金流量净额分别为</w:t>
      </w:r>
      <w:r>
        <w:rPr>
          <w:rFonts w:hint="default" w:ascii="Times New Roman" w:hAnsi="Times New Roman" w:eastAsia="宋体" w:cs="Times New Roman"/>
          <w:color w:val="auto"/>
          <w:sz w:val="24"/>
          <w:szCs w:val="24"/>
          <w:highlight w:val="none"/>
          <w:lang w:eastAsia="zh-CN"/>
        </w:rPr>
        <w:t>44,493.46</w:t>
      </w:r>
      <w:r>
        <w:rPr>
          <w:rFonts w:hint="default" w:ascii="Times New Roman" w:hAnsi="Times New Roman" w:eastAsia="宋体" w:cs="Times New Roman"/>
          <w:color w:val="auto"/>
          <w:sz w:val="24"/>
          <w:szCs w:val="24"/>
          <w:highlight w:val="none"/>
          <w:lang w:val="en-US" w:eastAsia="zh-CN"/>
        </w:rPr>
        <w:t>万元、</w:t>
      </w:r>
      <w:r>
        <w:rPr>
          <w:rFonts w:hint="default" w:ascii="Times New Roman" w:hAnsi="Times New Roman" w:eastAsia="宋体" w:cs="Times New Roman"/>
          <w:bCs/>
          <w:color w:val="auto"/>
          <w:sz w:val="24"/>
          <w:szCs w:val="24"/>
          <w:highlight w:val="none"/>
          <w:lang w:eastAsia="zh-CN"/>
        </w:rPr>
        <w:t>-37,753.10</w:t>
      </w:r>
      <w:r>
        <w:rPr>
          <w:rFonts w:hint="default" w:ascii="Times New Roman" w:hAnsi="Times New Roman" w:eastAsia="宋体" w:cs="Times New Roman"/>
          <w:color w:val="auto"/>
          <w:sz w:val="24"/>
          <w:szCs w:val="24"/>
          <w:highlight w:val="none"/>
          <w:lang w:val="en-US" w:eastAsia="zh-CN"/>
        </w:rPr>
        <w:t>万元、</w:t>
      </w:r>
      <w:r>
        <w:rPr>
          <w:rFonts w:hint="default" w:ascii="Times New Roman" w:hAnsi="Times New Roman" w:eastAsia="宋体" w:cs="Times New Roman"/>
          <w:bCs/>
          <w:color w:val="auto"/>
          <w:sz w:val="24"/>
          <w:szCs w:val="24"/>
          <w:highlight w:val="none"/>
          <w:lang w:eastAsia="zh-CN"/>
        </w:rPr>
        <w:t>-30,115.39</w:t>
      </w:r>
      <w:r>
        <w:rPr>
          <w:rFonts w:hint="default" w:ascii="Times New Roman" w:hAnsi="Times New Roman" w:eastAsia="宋体" w:cs="Times New Roman"/>
          <w:color w:val="auto"/>
          <w:sz w:val="24"/>
          <w:szCs w:val="24"/>
          <w:highlight w:val="none"/>
          <w:lang w:val="en-US" w:eastAsia="zh-CN"/>
        </w:rPr>
        <w:t>万元及-10,762.61万元。2020年度，筹资活动产生的现金流量净额较上年同期下降184.85%，主要系通过借款取得现金净流入同比减少。2021年度，筹资活动产生的现金流量净额</w:t>
      </w:r>
      <w:r>
        <w:rPr>
          <w:rFonts w:hint="default" w:ascii="Times New Roman" w:hAnsi="Times New Roman" w:eastAsia="宋体" w:cs="Times New Roman"/>
          <w:bCs/>
          <w:color w:val="auto"/>
          <w:sz w:val="24"/>
          <w:szCs w:val="24"/>
          <w:highlight w:val="none"/>
          <w:lang w:eastAsia="zh-CN"/>
        </w:rPr>
        <w:t>-30,115.39</w:t>
      </w:r>
      <w:r>
        <w:rPr>
          <w:rFonts w:hint="default" w:ascii="Times New Roman" w:hAnsi="Times New Roman" w:eastAsia="宋体" w:cs="Times New Roman"/>
          <w:color w:val="auto"/>
          <w:sz w:val="24"/>
          <w:szCs w:val="24"/>
          <w:highlight w:val="none"/>
          <w:lang w:val="en-US" w:eastAsia="zh-CN"/>
        </w:rPr>
        <w:t>万元，较上年同期增加7,637.71万元，增幅20.23%。</w:t>
      </w:r>
    </w:p>
    <w:p>
      <w:pPr>
        <w:pStyle w:val="24"/>
        <w:adjustRightInd w:val="0"/>
        <w:snapToGrid w:val="0"/>
        <w:spacing w:before="0" w:line="360" w:lineRule="auto"/>
        <w:ind w:firstLine="482" w:firstLineChars="200"/>
        <w:jc w:val="both"/>
        <w:rPr>
          <w:rStyle w:val="23"/>
          <w:rFonts w:hint="default" w:ascii="Times New Roman" w:hAnsi="Times New Roman" w:eastAsia="宋体" w:cs="Times New Roman"/>
          <w:b/>
          <w:bCs/>
          <w:color w:val="000000"/>
          <w:sz w:val="24"/>
          <w:szCs w:val="24"/>
          <w:highlight w:val="none"/>
          <w:lang w:val="zh-TW" w:eastAsia="zh-TW"/>
        </w:rPr>
      </w:pPr>
      <w:r>
        <w:rPr>
          <w:rStyle w:val="23"/>
          <w:rFonts w:hint="default" w:ascii="Times New Roman" w:hAnsi="Times New Roman" w:eastAsia="宋体" w:cs="Times New Roman"/>
          <w:b/>
          <w:bCs/>
          <w:sz w:val="24"/>
          <w:szCs w:val="24"/>
          <w:highlight w:val="none"/>
        </w:rPr>
        <w:t>4、偿债能力分析</w:t>
      </w:r>
    </w:p>
    <w:tbl>
      <w:tblPr>
        <w:tblStyle w:val="11"/>
        <w:tblW w:w="5030" w:type="pct"/>
        <w:jc w:val="center"/>
        <w:tblLayout w:type="autofit"/>
        <w:tblCellMar>
          <w:top w:w="0" w:type="dxa"/>
          <w:left w:w="0" w:type="dxa"/>
          <w:bottom w:w="0" w:type="dxa"/>
          <w:right w:w="0" w:type="dxa"/>
        </w:tblCellMar>
      </w:tblPr>
      <w:tblGrid>
        <w:gridCol w:w="1653"/>
        <w:gridCol w:w="1676"/>
        <w:gridCol w:w="1676"/>
        <w:gridCol w:w="1676"/>
        <w:gridCol w:w="1679"/>
      </w:tblGrid>
      <w:tr>
        <w:tblPrEx>
          <w:tblCellMar>
            <w:top w:w="0" w:type="dxa"/>
            <w:left w:w="0" w:type="dxa"/>
            <w:bottom w:w="0" w:type="dxa"/>
            <w:right w:w="0" w:type="dxa"/>
          </w:tblCellMar>
        </w:tblPrEx>
        <w:trPr>
          <w:trHeight w:val="545" w:hRule="atLeast"/>
          <w:jc w:val="center"/>
        </w:trPr>
        <w:tc>
          <w:tcPr>
            <w:tcW w:w="988" w:type="pct"/>
            <w:tcBorders>
              <w:top w:val="single" w:color="auto" w:sz="4" w:space="0"/>
              <w:left w:val="single" w:color="auto" w:sz="4" w:space="0"/>
              <w:bottom w:val="nil"/>
              <w:right w:val="nil"/>
            </w:tcBorders>
            <w:shd w:val="clear" w:color="auto" w:fill="FFFFFF"/>
            <w:vAlign w:val="center"/>
          </w:tcPr>
          <w:p>
            <w:pPr>
              <w:pStyle w:val="24"/>
              <w:shd w:val="clear" w:color="auto" w:fill="auto"/>
              <w:adjustRightInd w:val="0"/>
              <w:snapToGrid w:val="0"/>
              <w:spacing w:before="0" w:line="240" w:lineRule="auto"/>
              <w:ind w:firstLine="0"/>
              <w:jc w:val="center"/>
              <w:rPr>
                <w:rFonts w:hint="default" w:ascii="Times New Roman" w:hAnsi="Times New Roman" w:eastAsia="宋体" w:cs="Times New Roman"/>
                <w:sz w:val="21"/>
                <w:szCs w:val="21"/>
                <w:highlight w:val="none"/>
              </w:rPr>
            </w:pPr>
            <w:r>
              <w:rPr>
                <w:rStyle w:val="41"/>
                <w:rFonts w:hint="default" w:ascii="Times New Roman" w:hAnsi="Times New Roman" w:eastAsia="宋体" w:cs="Times New Roman"/>
                <w:color w:val="000000"/>
                <w:sz w:val="21"/>
                <w:szCs w:val="21"/>
                <w:highlight w:val="none"/>
                <w:lang w:val="zh-TW" w:eastAsia="zh-TW"/>
              </w:rPr>
              <w:t>财务指标</w:t>
            </w:r>
          </w:p>
        </w:tc>
        <w:tc>
          <w:tcPr>
            <w:tcW w:w="1002" w:type="pct"/>
            <w:tcBorders>
              <w:top w:val="single" w:color="auto" w:sz="4" w:space="0"/>
              <w:left w:val="single" w:color="auto" w:sz="4" w:space="0"/>
              <w:bottom w:val="nil"/>
              <w:right w:val="nil"/>
            </w:tcBorders>
            <w:shd w:val="clear" w:color="auto" w:fill="FFFFFF"/>
            <w:vAlign w:val="center"/>
          </w:tcPr>
          <w:p>
            <w:pPr>
              <w:pStyle w:val="24"/>
              <w:shd w:val="clear" w:color="auto" w:fill="auto"/>
              <w:adjustRightInd w:val="0"/>
              <w:snapToGrid w:val="0"/>
              <w:spacing w:before="0"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2022年3月末</w:t>
            </w:r>
          </w:p>
        </w:tc>
        <w:tc>
          <w:tcPr>
            <w:tcW w:w="1002" w:type="pct"/>
            <w:tcBorders>
              <w:top w:val="single" w:color="auto" w:sz="4" w:space="0"/>
              <w:left w:val="single" w:color="auto" w:sz="4" w:space="0"/>
              <w:bottom w:val="nil"/>
              <w:right w:val="nil"/>
            </w:tcBorders>
            <w:shd w:val="clear" w:color="auto" w:fill="FFFFFF"/>
            <w:vAlign w:val="center"/>
          </w:tcPr>
          <w:p>
            <w:pPr>
              <w:pStyle w:val="24"/>
              <w:shd w:val="clear" w:color="auto" w:fill="auto"/>
              <w:adjustRightInd w:val="0"/>
              <w:snapToGrid w:val="0"/>
              <w:spacing w:before="0"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2021年末</w:t>
            </w:r>
          </w:p>
        </w:tc>
        <w:tc>
          <w:tcPr>
            <w:tcW w:w="1002" w:type="pct"/>
            <w:tcBorders>
              <w:top w:val="single" w:color="auto" w:sz="4" w:space="0"/>
              <w:left w:val="single" w:color="auto" w:sz="4" w:space="0"/>
              <w:bottom w:val="nil"/>
              <w:right w:val="nil"/>
            </w:tcBorders>
            <w:shd w:val="clear" w:color="auto" w:fill="FFFFFF"/>
            <w:vAlign w:val="center"/>
          </w:tcPr>
          <w:p>
            <w:pPr>
              <w:pStyle w:val="24"/>
              <w:shd w:val="clear" w:color="auto" w:fill="auto"/>
              <w:adjustRightInd w:val="0"/>
              <w:snapToGrid w:val="0"/>
              <w:spacing w:before="0"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2020年末</w:t>
            </w:r>
          </w:p>
        </w:tc>
        <w:tc>
          <w:tcPr>
            <w:tcW w:w="1004" w:type="pct"/>
            <w:tcBorders>
              <w:top w:val="single" w:color="auto" w:sz="4" w:space="0"/>
              <w:left w:val="single" w:color="auto" w:sz="4" w:space="0"/>
              <w:bottom w:val="nil"/>
              <w:right w:val="single" w:color="auto" w:sz="4" w:space="0"/>
            </w:tcBorders>
            <w:shd w:val="clear" w:color="auto" w:fill="FFFFFF"/>
            <w:vAlign w:val="center"/>
          </w:tcPr>
          <w:p>
            <w:pPr>
              <w:pStyle w:val="24"/>
              <w:shd w:val="clear" w:color="auto" w:fill="auto"/>
              <w:adjustRightInd w:val="0"/>
              <w:snapToGrid w:val="0"/>
              <w:spacing w:before="0"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2019年末</w:t>
            </w:r>
          </w:p>
        </w:tc>
      </w:tr>
      <w:tr>
        <w:tblPrEx>
          <w:tblCellMar>
            <w:top w:w="0" w:type="dxa"/>
            <w:left w:w="0" w:type="dxa"/>
            <w:bottom w:w="0" w:type="dxa"/>
            <w:right w:w="0" w:type="dxa"/>
          </w:tblCellMar>
        </w:tblPrEx>
        <w:trPr>
          <w:trHeight w:val="545" w:hRule="atLeast"/>
          <w:jc w:val="center"/>
        </w:trPr>
        <w:tc>
          <w:tcPr>
            <w:tcW w:w="988" w:type="pct"/>
            <w:tcBorders>
              <w:top w:val="single" w:color="auto" w:sz="4" w:space="0"/>
              <w:left w:val="single" w:color="auto" w:sz="4" w:space="0"/>
              <w:bottom w:val="nil"/>
              <w:right w:val="nil"/>
            </w:tcBorders>
            <w:shd w:val="clear" w:color="auto" w:fill="FFFFFF"/>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资产负债率</w:t>
            </w:r>
          </w:p>
        </w:tc>
        <w:tc>
          <w:tcPr>
            <w:tcW w:w="1002" w:type="pct"/>
            <w:tcBorders>
              <w:top w:val="single" w:color="auto" w:sz="4" w:space="0"/>
              <w:left w:val="single" w:color="auto" w:sz="4" w:space="0"/>
              <w:bottom w:val="nil"/>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46.40%</w:t>
            </w:r>
          </w:p>
        </w:tc>
        <w:tc>
          <w:tcPr>
            <w:tcW w:w="1002" w:type="pct"/>
            <w:tcBorders>
              <w:top w:val="single" w:color="auto" w:sz="4" w:space="0"/>
              <w:left w:val="single" w:color="auto" w:sz="4" w:space="0"/>
              <w:bottom w:val="nil"/>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bookmarkStart w:id="12" w:name="_Hlk100197021"/>
            <w:r>
              <w:rPr>
                <w:rFonts w:hint="default" w:ascii="Times New Roman" w:hAnsi="Times New Roman" w:eastAsia="宋体" w:cs="Times New Roman"/>
                <w:sz w:val="21"/>
                <w:szCs w:val="21"/>
                <w:highlight w:val="none"/>
                <w:lang w:val="en-US" w:eastAsia="zh-CN"/>
              </w:rPr>
              <w:t>38.66</w:t>
            </w:r>
            <w:bookmarkEnd w:id="12"/>
            <w:r>
              <w:rPr>
                <w:rFonts w:hint="default" w:ascii="Times New Roman" w:hAnsi="Times New Roman" w:eastAsia="宋体" w:cs="Times New Roman"/>
                <w:sz w:val="21"/>
                <w:szCs w:val="21"/>
                <w:highlight w:val="none"/>
                <w:lang w:val="en-US" w:eastAsia="zh-CN"/>
              </w:rPr>
              <w:t>%</w:t>
            </w:r>
          </w:p>
        </w:tc>
        <w:tc>
          <w:tcPr>
            <w:tcW w:w="1002" w:type="pct"/>
            <w:tcBorders>
              <w:top w:val="single" w:color="auto" w:sz="4" w:space="0"/>
              <w:left w:val="single" w:color="auto" w:sz="4" w:space="0"/>
              <w:bottom w:val="nil"/>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36.09%</w:t>
            </w:r>
          </w:p>
        </w:tc>
        <w:tc>
          <w:tcPr>
            <w:tcW w:w="1004" w:type="pct"/>
            <w:tcBorders>
              <w:top w:val="single" w:color="auto" w:sz="4" w:space="0"/>
              <w:left w:val="single" w:color="auto" w:sz="4" w:space="0"/>
              <w:bottom w:val="nil"/>
              <w:right w:val="single" w:color="auto" w:sz="4" w:space="0"/>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34.23%</w:t>
            </w:r>
          </w:p>
        </w:tc>
      </w:tr>
      <w:tr>
        <w:tblPrEx>
          <w:tblCellMar>
            <w:top w:w="0" w:type="dxa"/>
            <w:left w:w="0" w:type="dxa"/>
            <w:bottom w:w="0" w:type="dxa"/>
            <w:right w:w="0" w:type="dxa"/>
          </w:tblCellMar>
        </w:tblPrEx>
        <w:trPr>
          <w:trHeight w:val="545" w:hRule="atLeast"/>
          <w:jc w:val="center"/>
        </w:trPr>
        <w:tc>
          <w:tcPr>
            <w:tcW w:w="988" w:type="pct"/>
            <w:tcBorders>
              <w:top w:val="single" w:color="auto" w:sz="4" w:space="0"/>
              <w:left w:val="single" w:color="auto" w:sz="4" w:space="0"/>
              <w:bottom w:val="nil"/>
              <w:right w:val="nil"/>
            </w:tcBorders>
            <w:shd w:val="clear" w:color="auto" w:fill="FFFFFF"/>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流动比率（倍）</w:t>
            </w:r>
          </w:p>
        </w:tc>
        <w:tc>
          <w:tcPr>
            <w:tcW w:w="1002" w:type="pct"/>
            <w:tcBorders>
              <w:top w:val="single" w:color="auto" w:sz="4" w:space="0"/>
              <w:left w:val="single" w:color="auto" w:sz="4" w:space="0"/>
              <w:bottom w:val="nil"/>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0.69</w:t>
            </w:r>
          </w:p>
        </w:tc>
        <w:tc>
          <w:tcPr>
            <w:tcW w:w="1002" w:type="pct"/>
            <w:tcBorders>
              <w:top w:val="single" w:color="auto" w:sz="4" w:space="0"/>
              <w:left w:val="single" w:color="auto" w:sz="4" w:space="0"/>
              <w:bottom w:val="nil"/>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0.69</w:t>
            </w:r>
          </w:p>
        </w:tc>
        <w:tc>
          <w:tcPr>
            <w:tcW w:w="1002" w:type="pct"/>
            <w:tcBorders>
              <w:top w:val="single" w:color="auto" w:sz="4" w:space="0"/>
              <w:left w:val="single" w:color="auto" w:sz="4" w:space="0"/>
              <w:bottom w:val="nil"/>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0.42</w:t>
            </w:r>
          </w:p>
        </w:tc>
        <w:tc>
          <w:tcPr>
            <w:tcW w:w="1004" w:type="pct"/>
            <w:tcBorders>
              <w:top w:val="single" w:color="auto" w:sz="4" w:space="0"/>
              <w:left w:val="single" w:color="auto" w:sz="4" w:space="0"/>
              <w:bottom w:val="nil"/>
              <w:right w:val="single" w:color="auto" w:sz="4" w:space="0"/>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0.10</w:t>
            </w:r>
          </w:p>
        </w:tc>
      </w:tr>
      <w:tr>
        <w:tblPrEx>
          <w:tblCellMar>
            <w:top w:w="0" w:type="dxa"/>
            <w:left w:w="0" w:type="dxa"/>
            <w:bottom w:w="0" w:type="dxa"/>
            <w:right w:w="0" w:type="dxa"/>
          </w:tblCellMar>
        </w:tblPrEx>
        <w:trPr>
          <w:trHeight w:val="545" w:hRule="atLeast"/>
          <w:jc w:val="center"/>
        </w:trPr>
        <w:tc>
          <w:tcPr>
            <w:tcW w:w="988"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速动比率（倍）</w:t>
            </w:r>
          </w:p>
        </w:tc>
        <w:tc>
          <w:tcPr>
            <w:tcW w:w="1002"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0.39</w:t>
            </w:r>
          </w:p>
        </w:tc>
        <w:tc>
          <w:tcPr>
            <w:tcW w:w="1002"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0.68</w:t>
            </w:r>
          </w:p>
        </w:tc>
        <w:tc>
          <w:tcPr>
            <w:tcW w:w="1002" w:type="pct"/>
            <w:tcBorders>
              <w:top w:val="single" w:color="auto" w:sz="4" w:space="0"/>
              <w:left w:val="single" w:color="auto" w:sz="4" w:space="0"/>
              <w:bottom w:val="single" w:color="auto" w:sz="4" w:space="0"/>
              <w:right w:val="nil"/>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0.42</w:t>
            </w:r>
          </w:p>
        </w:tc>
        <w:tc>
          <w:tcPr>
            <w:tcW w:w="10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righ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0.10</w:t>
            </w:r>
          </w:p>
        </w:tc>
      </w:tr>
    </w:tbl>
    <w:p>
      <w:pPr>
        <w:pStyle w:val="24"/>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近三年及一期末，发行人资产负债率分别为34.23%、36.09%、38.66%和46.40%。截至2021年末，资产负债率38.66%，主要受疫情和免费通行政策的影响，公司借款增加。</w:t>
      </w:r>
    </w:p>
    <w:p>
      <w:pPr>
        <w:pStyle w:val="24"/>
        <w:adjustRightInd w:val="0"/>
        <w:snapToGri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近三年及一期末，流动比率分别为0.10、0.42、0.69和0.69，速动比率分别为0.10、0.42、0.68和0.39，两者总体偏低，但考虑到发行人在各家商业银行的授信额度较充足，且发行人可发行的直融产品额度充裕，具备较好的流动性额度支撑，短期偿债压力不大。</w:t>
      </w:r>
    </w:p>
    <w:p>
      <w:pPr>
        <w:pStyle w:val="24"/>
        <w:adjustRightInd w:val="0"/>
        <w:snapToGrid w:val="0"/>
        <w:spacing w:before="0"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5、盈利能力分析</w:t>
      </w:r>
    </w:p>
    <w:p>
      <w:pPr>
        <w:pStyle w:val="24"/>
        <w:adjustRightInd w:val="0"/>
        <w:snapToGri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最近三年及一期，母公司的经营业绩情况如下表所示:</w:t>
      </w:r>
    </w:p>
    <w:p>
      <w:pPr>
        <w:pStyle w:val="24"/>
        <w:adjustRightInd w:val="0"/>
        <w:snapToGrid w:val="0"/>
        <w:spacing w:before="0" w:line="360" w:lineRule="auto"/>
        <w:ind w:firstLine="480" w:firstLineChars="200"/>
        <w:jc w:val="right"/>
        <w:rPr>
          <w:rStyle w:val="45"/>
          <w:rFonts w:hint="default" w:ascii="Times New Roman" w:hAnsi="Times New Roman" w:eastAsia="宋体" w:cs="Times New Roman"/>
          <w:color w:val="000000"/>
          <w:sz w:val="24"/>
          <w:szCs w:val="24"/>
          <w:highlight w:val="none"/>
          <w:lang w:val="zh-TW" w:eastAsia="zh-TW"/>
        </w:rPr>
      </w:pPr>
      <w:r>
        <w:rPr>
          <w:rStyle w:val="45"/>
          <w:rFonts w:hint="default" w:ascii="Times New Roman" w:hAnsi="Times New Roman" w:eastAsia="宋体" w:cs="Times New Roman"/>
          <w:color w:val="000000"/>
          <w:sz w:val="24"/>
          <w:szCs w:val="24"/>
          <w:highlight w:val="none"/>
          <w:lang w:val="zh-TW" w:eastAsia="zh-TW"/>
        </w:rPr>
        <w:t>单位：万元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872"/>
        <w:gridCol w:w="1768"/>
        <w:gridCol w:w="176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指标</w:t>
            </w:r>
          </w:p>
        </w:tc>
        <w:tc>
          <w:tcPr>
            <w:tcW w:w="1872" w:type="dxa"/>
            <w:noWrap/>
            <w:vAlign w:val="center"/>
          </w:tcPr>
          <w:p>
            <w:pPr>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2022年1-3月</w:t>
            </w:r>
          </w:p>
        </w:tc>
        <w:tc>
          <w:tcPr>
            <w:tcW w:w="1768" w:type="dxa"/>
            <w:noWrap/>
            <w:vAlign w:val="center"/>
          </w:tcPr>
          <w:p>
            <w:pPr>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2021年度</w:t>
            </w:r>
          </w:p>
        </w:tc>
        <w:tc>
          <w:tcPr>
            <w:tcW w:w="1768" w:type="dxa"/>
            <w:noWrap/>
            <w:vAlign w:val="center"/>
          </w:tcPr>
          <w:p>
            <w:pPr>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2020年度</w:t>
            </w:r>
          </w:p>
        </w:tc>
        <w:tc>
          <w:tcPr>
            <w:tcW w:w="1581" w:type="dxa"/>
            <w:noWrap/>
            <w:vAlign w:val="center"/>
          </w:tcPr>
          <w:p>
            <w:pPr>
              <w:adjustRightInd w:val="0"/>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rPr>
              <w:t>营业收入</w:t>
            </w:r>
          </w:p>
        </w:tc>
        <w:tc>
          <w:tcPr>
            <w:tcW w:w="1872"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170,738.90</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787,081.61</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616,061.42 </w:t>
            </w:r>
          </w:p>
        </w:tc>
        <w:tc>
          <w:tcPr>
            <w:tcW w:w="1581"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650,367.96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rPr>
              <w:t>营业成本</w:t>
            </w:r>
          </w:p>
        </w:tc>
        <w:tc>
          <w:tcPr>
            <w:tcW w:w="1872"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75,317.10</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384,283.71</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363,648.34 </w:t>
            </w:r>
          </w:p>
        </w:tc>
        <w:tc>
          <w:tcPr>
            <w:tcW w:w="1581"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274,573.16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rPr>
              <w:t>营业毛利率</w:t>
            </w:r>
          </w:p>
        </w:tc>
        <w:tc>
          <w:tcPr>
            <w:tcW w:w="1872"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55.89%</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51.18%</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40.97%</w:t>
            </w:r>
          </w:p>
        </w:tc>
        <w:tc>
          <w:tcPr>
            <w:tcW w:w="1581"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rPr>
              <w:t>营业利润</w:t>
            </w:r>
          </w:p>
        </w:tc>
        <w:tc>
          <w:tcPr>
            <w:tcW w:w="1872"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93,812.90</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439,056.20</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258,593.97 </w:t>
            </w:r>
          </w:p>
        </w:tc>
        <w:tc>
          <w:tcPr>
            <w:tcW w:w="1581"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395,220.69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rPr>
              <w:t>利润总额</w:t>
            </w:r>
          </w:p>
        </w:tc>
        <w:tc>
          <w:tcPr>
            <w:tcW w:w="1872"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93,442.20</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437,200.78</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260,903.72 </w:t>
            </w:r>
          </w:p>
        </w:tc>
        <w:tc>
          <w:tcPr>
            <w:tcW w:w="1581"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396,520.19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27"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rPr>
              <w:t>净利润</w:t>
            </w:r>
          </w:p>
        </w:tc>
        <w:tc>
          <w:tcPr>
            <w:tcW w:w="1872"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73,061.77</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344,165.09</w:t>
            </w:r>
          </w:p>
        </w:tc>
        <w:tc>
          <w:tcPr>
            <w:tcW w:w="1768"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 xml:space="preserve">204,425.86 </w:t>
            </w:r>
          </w:p>
        </w:tc>
        <w:tc>
          <w:tcPr>
            <w:tcW w:w="1581" w:type="dxa"/>
            <w:noWrap/>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310,398.33</w:t>
            </w:r>
          </w:p>
        </w:tc>
      </w:tr>
    </w:tbl>
    <w:p>
      <w:pPr>
        <w:pStyle w:val="24"/>
        <w:keepNext w:val="0"/>
        <w:keepLines w:val="0"/>
        <w:pageBreakBefore w:val="0"/>
        <w:widowControl w:val="0"/>
        <w:kinsoku/>
        <w:wordWrap/>
        <w:overflowPunct/>
        <w:topLinePunct w:val="0"/>
        <w:autoSpaceDE/>
        <w:autoSpaceDN/>
        <w:bidi w:val="0"/>
        <w:adjustRightInd w:val="0"/>
        <w:snapToGrid/>
        <w:spacing w:before="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近三年及一期，母公司营业收入分别为</w:t>
      </w:r>
      <w:r>
        <w:rPr>
          <w:rFonts w:hint="default" w:ascii="Times New Roman" w:hAnsi="Times New Roman" w:eastAsia="宋体" w:cs="Times New Roman"/>
          <w:sz w:val="24"/>
          <w:szCs w:val="24"/>
          <w:highlight w:val="none"/>
          <w:lang w:val="zh-TW"/>
        </w:rPr>
        <w:t>650,367.96</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lang w:val="zh-TW"/>
        </w:rPr>
        <w:t>616,061.42</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val="zh-TW"/>
        </w:rPr>
        <w:t>787,081.61</w:t>
      </w:r>
      <w:r>
        <w:rPr>
          <w:rFonts w:hint="default" w:ascii="Times New Roman" w:hAnsi="Times New Roman" w:eastAsia="宋体" w:cs="Times New Roman"/>
          <w:sz w:val="24"/>
          <w:szCs w:val="24"/>
          <w:highlight w:val="none"/>
        </w:rPr>
        <w:t>万元及170,738.90万元。近三年及一期，母公司营业成本分别为</w:t>
      </w:r>
      <w:r>
        <w:rPr>
          <w:rFonts w:hint="default" w:ascii="Times New Roman" w:hAnsi="Times New Roman" w:eastAsia="宋体" w:cs="Times New Roman"/>
          <w:sz w:val="24"/>
          <w:szCs w:val="24"/>
          <w:highlight w:val="none"/>
          <w:lang w:val="zh-TW"/>
        </w:rPr>
        <w:t>274,573.16</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val="zh-TW"/>
        </w:rPr>
        <w:t>363,648.34</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val="zh-TW"/>
        </w:rPr>
        <w:t>384,283.71</w:t>
      </w:r>
      <w:r>
        <w:rPr>
          <w:rFonts w:hint="default" w:ascii="Times New Roman" w:hAnsi="Times New Roman" w:eastAsia="宋体" w:cs="Times New Roman"/>
          <w:sz w:val="24"/>
          <w:szCs w:val="24"/>
          <w:highlight w:val="none"/>
        </w:rPr>
        <w:t>万元及75,317.10万元。近三年及一期，母公司营业利润分别为</w:t>
      </w:r>
      <w:r>
        <w:rPr>
          <w:rFonts w:hint="default" w:ascii="Times New Roman" w:hAnsi="Times New Roman" w:eastAsia="宋体" w:cs="Times New Roman"/>
          <w:bCs/>
          <w:sz w:val="24"/>
          <w:szCs w:val="24"/>
          <w:highlight w:val="none"/>
          <w:lang w:val="zh-TW"/>
        </w:rPr>
        <w:t>395,220.69</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lang w:val="zh-TW"/>
        </w:rPr>
        <w:t>258,593.97</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val="zh-TW"/>
        </w:rPr>
        <w:t>439,056.20</w:t>
      </w:r>
      <w:r>
        <w:rPr>
          <w:rFonts w:hint="default" w:ascii="Times New Roman" w:hAnsi="Times New Roman" w:eastAsia="宋体" w:cs="Times New Roman"/>
          <w:sz w:val="24"/>
          <w:szCs w:val="24"/>
          <w:highlight w:val="none"/>
        </w:rPr>
        <w:t>万元和93,812.90万元。近三年及一期，母公司利润总额分别为</w:t>
      </w:r>
      <w:r>
        <w:rPr>
          <w:rFonts w:hint="default" w:ascii="Times New Roman" w:hAnsi="Times New Roman" w:eastAsia="宋体" w:cs="Times New Roman"/>
          <w:sz w:val="24"/>
          <w:szCs w:val="24"/>
          <w:highlight w:val="none"/>
          <w:lang w:val="zh-TW"/>
        </w:rPr>
        <w:t>396,520.19</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lang w:val="zh-TW"/>
        </w:rPr>
        <w:t>260,903.72</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val="zh-TW"/>
        </w:rPr>
        <w:t>437,200.78</w:t>
      </w:r>
      <w:r>
        <w:rPr>
          <w:rFonts w:hint="default" w:ascii="Times New Roman" w:hAnsi="Times New Roman" w:eastAsia="宋体" w:cs="Times New Roman"/>
          <w:sz w:val="24"/>
          <w:szCs w:val="24"/>
          <w:highlight w:val="none"/>
        </w:rPr>
        <w:t>万元和93,442.20万元；净利润分别为</w:t>
      </w:r>
      <w:r>
        <w:rPr>
          <w:rFonts w:hint="default" w:ascii="Times New Roman" w:hAnsi="Times New Roman" w:eastAsia="宋体" w:cs="Times New Roman"/>
          <w:sz w:val="24"/>
          <w:szCs w:val="24"/>
          <w:highlight w:val="none"/>
          <w:lang w:val="zh-TW"/>
        </w:rPr>
        <w:t>310,398.33</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bCs/>
          <w:sz w:val="24"/>
          <w:szCs w:val="24"/>
          <w:highlight w:val="none"/>
          <w:lang w:val="zh-TW"/>
        </w:rPr>
        <w:t>204,425.86</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val="zh-TW"/>
        </w:rPr>
        <w:t>344,165.09</w:t>
      </w:r>
      <w:r>
        <w:rPr>
          <w:rFonts w:hint="default" w:ascii="Times New Roman" w:hAnsi="Times New Roman" w:eastAsia="宋体" w:cs="Times New Roman"/>
          <w:sz w:val="24"/>
          <w:szCs w:val="24"/>
          <w:highlight w:val="none"/>
        </w:rPr>
        <w:t>万元和73,061.77万元。近三年及一期，母公司盈利情况波动较大。2020年受新冠疫情的冲击和疫情期间高速公路免费通行政策的影响，利润总额及净利润分别较上年同期下降34.20%及34.14%。2021年，得益于路桥收费业务经营的强劲恢复，母公司利润总额及净利润增幅巨大。近三年及一期，发行人营业毛利率分别为57.78%、40.97%、51.18%和55.89%。整体而言，母公司处于行业中上水平，盈利能力基本稳定。</w:t>
      </w:r>
    </w:p>
    <w:p>
      <w:pPr>
        <w:pStyle w:val="24"/>
        <w:adjustRightInd w:val="0"/>
        <w:spacing w:before="0" w:line="360" w:lineRule="auto"/>
        <w:ind w:firstLine="482" w:firstLineChars="200"/>
        <w:jc w:val="both"/>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6、未来业务发展目标及经营计划</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（1）公司发展战略</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稳</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字当头，稳中求进。面对复杂的多变的国际国内形势，公司坚持变中求稳，稳中求进。充分发挥苏南路网通道资源优势，提高资产经营效益。加快交通生态圈建设步伐，通过优化结构调整对冲不确定的外部环境，稳住发展的基本盘。</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创新</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作帆，服务升级。借创新之力突破发展瓶颈，以管理创新提升道路管养质量，以技术创新提升道路运营效率，以商业模式创新拓展路延产业空间。与时俱进研究新政策、解决新问题，因时因势调整应对策略。</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提升</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为桨，助推发展。主动掌握行业动向及监管方向，以深化改革提升治理水平，形成协调运转、有效制衡的治理机制，坚持治理体系对标世界一流，提升市场认可度，为公司高质量发展保驾护航。</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（2）经营计划</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1）2022年是</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十四五</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承上启下的关键之年，集团将在坚定聚焦主业发展的前提下，分散产业风险，保持高利润回报。重点任务包括：</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坚持固本强基，业务发展互促互进。一是发挥产业基础优势，深耕主营业务。聚焦路桥主业，围绕</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交通强省</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大局，抓好新开通路桥的培育期，做精做细运营管理。积极把握优质路桥项目投资机会，筑牢发展的根基。二是发挥品牌优势，拓展辅业利润。推动服务区改造升级，寻求“交通+服务区”发展新突破。利用核心业务和能力持续开拓市场空间，建设主业生态圈，提升交通流变现能力，开辟新的业务和利润增长点。三是发挥资源优势，做优对外投资。审慎寻求稳定收益的金融、新能源、交通基础设施投资机会，拓展利润来源，并持续加强风险防控，完善投资风险的监测及预警。</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着眼智慧赋能，提质增效释放活力。一是将路桥品质放在首位。牢固树立全寿命周期理念，在路桥性能指标自然衰减加剧的情况下做到稳中有升，路桥状况始终处于行业领先水平，做精</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苏式养护</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专业品牌。二是将道路畅通作为动力。总结提升</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准自由流</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收费模式经验，提升通行效率。探索集约化养护新方法，降低占道作业时间和次数，最大程度</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让路于民</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适时开展沪宁路试验段改扩建可行性研究，推动大流量保畅实现新跨越。三是将数字转型视为方向。持续探索公路资产数字化、养护工作可视化、养护决策智能化，在数字基建道路上保持国内领先水平，打造全国领先智慧交通产业高地。</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始终遵规守矩，纵深推进合规管理。一是持续推进合规体系建设，将内控合规工作要求内化于经营管理，保持规章制度与业务发展步调一致，切实提升管理效能。二是加快人才专业化建设，从公司高质量发展需求出发，构建</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金字塔</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型人才结构，分层分类实施各类人才的专业培养，精准高效培育人才。三是加强预警监督，通过定期、持续的业务检查，提前预警、化解并处置风险，促进管理能力提升，保障公司长远发展。</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2）因维持当前业务并完成在建投资项目集团所需的资金需求</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公司将在充分利用自有资金的基础上，根据资本市场资金情况，适时调整融资策略，进一步优化债务结构，降低资金成本，以满足集团经营、发展需要。同时积极探索可转债、海外债等多种融资方式，为集团现阶段发展提供有效的资金支撑，也为集团未来发展战略提前布局。截至2021年末，公司已在中国银行间市场交易商协会注册但尚未发行的注册期限为一年以上的超短融额度约人民币55.20亿元；已与银行签署授信合同但尚未使用的借款额度不低于人民币100亿元；融资额度将足够支撑集团资本开支、债务滚动和业务发展。如有特殊情况需要其他资金支出的，公司将根据支出规模和实际现金流情况调整融资计划。</w:t>
      </w:r>
    </w:p>
    <w:p>
      <w:pPr>
        <w:pStyle w:val="26"/>
        <w:keepNext/>
        <w:keepLines/>
        <w:shd w:val="clear" w:color="auto" w:fill="auto"/>
        <w:tabs>
          <w:tab w:val="left" w:pos="2497"/>
        </w:tabs>
        <w:spacing w:line="360" w:lineRule="auto"/>
        <w:jc w:val="both"/>
        <w:rPr>
          <w:rStyle w:val="25"/>
          <w:rFonts w:hint="default" w:ascii="Times New Roman" w:hAnsi="Times New Roman" w:eastAsia="宋体" w:cs="Times New Roman"/>
          <w:b/>
          <w:bCs/>
          <w:color w:val="000000"/>
          <w:sz w:val="24"/>
          <w:szCs w:val="24"/>
          <w:highlight w:val="none"/>
          <w:lang w:val="zh-TW"/>
        </w:rPr>
      </w:pPr>
      <w:r>
        <w:rPr>
          <w:rStyle w:val="25"/>
          <w:rFonts w:hint="default" w:ascii="Times New Roman" w:hAnsi="Times New Roman" w:eastAsia="宋体" w:cs="Times New Roman"/>
          <w:b/>
          <w:bCs/>
          <w:color w:val="000000"/>
          <w:sz w:val="24"/>
          <w:szCs w:val="24"/>
          <w:highlight w:val="none"/>
          <w:lang w:val="zh-TW"/>
        </w:rPr>
        <w:t>四、本次债券发行的募集资金用途</w:t>
      </w:r>
    </w:p>
    <w:p>
      <w:pPr>
        <w:pStyle w:val="24"/>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本次债券的募集资金扣除发行费用后，拟用于并购、项目建设及法律法规允许的其他用途。具体用途及金额比例提请股东大会授权董事会并同意董事会授权公司经营层根据公司实际需求情况确定。</w:t>
      </w:r>
    </w:p>
    <w:p>
      <w:pPr>
        <w:pStyle w:val="26"/>
        <w:keepNext/>
        <w:keepLines/>
        <w:shd w:val="clear" w:color="auto" w:fill="auto"/>
        <w:tabs>
          <w:tab w:val="left" w:pos="2497"/>
        </w:tabs>
        <w:spacing w:line="360" w:lineRule="auto"/>
        <w:jc w:val="both"/>
        <w:rPr>
          <w:rFonts w:hint="default" w:ascii="Times New Roman" w:hAnsi="Times New Roman" w:eastAsia="宋体" w:cs="Times New Roman"/>
          <w:sz w:val="24"/>
          <w:szCs w:val="24"/>
          <w:highlight w:val="none"/>
        </w:rPr>
      </w:pPr>
      <w:bookmarkStart w:id="13" w:name="bookmark7"/>
      <w:r>
        <w:rPr>
          <w:rStyle w:val="25"/>
          <w:rFonts w:hint="default" w:ascii="Times New Roman" w:hAnsi="Times New Roman" w:eastAsia="宋体" w:cs="Times New Roman"/>
          <w:b/>
          <w:bCs/>
          <w:color w:val="000000"/>
          <w:sz w:val="24"/>
          <w:szCs w:val="24"/>
          <w:highlight w:val="none"/>
          <w:lang w:val="zh-TW"/>
        </w:rPr>
        <w:t>五、其他重要事项</w:t>
      </w:r>
      <w:bookmarkEnd w:id="13"/>
    </w:p>
    <w:p>
      <w:pPr>
        <w:pStyle w:val="24"/>
        <w:shd w:val="clear" w:color="auto" w:fill="auto"/>
        <w:adjustRightInd w:val="0"/>
        <w:spacing w:before="0" w:line="360" w:lineRule="auto"/>
        <w:ind w:firstLine="482" w:firstLineChars="200"/>
        <w:jc w:val="both"/>
        <w:rPr>
          <w:rStyle w:val="23"/>
          <w:rFonts w:hint="default" w:ascii="Times New Roman" w:hAnsi="Times New Roman" w:eastAsia="宋体" w:cs="Times New Roman"/>
          <w:b/>
          <w:bCs/>
          <w:color w:val="000000"/>
          <w:sz w:val="24"/>
          <w:szCs w:val="24"/>
          <w:highlight w:val="none"/>
          <w:lang w:val="zh-TW"/>
        </w:rPr>
      </w:pPr>
      <w:r>
        <w:rPr>
          <w:rStyle w:val="23"/>
          <w:rFonts w:hint="default" w:ascii="Times New Roman" w:hAnsi="Times New Roman" w:eastAsia="宋体" w:cs="Times New Roman"/>
          <w:b/>
          <w:bCs/>
          <w:color w:val="000000"/>
          <w:sz w:val="24"/>
          <w:szCs w:val="24"/>
          <w:highlight w:val="none"/>
          <w:lang w:val="zh-TW"/>
        </w:rPr>
        <w:t>（一）担保情况</w:t>
      </w:r>
    </w:p>
    <w:p>
      <w:pPr>
        <w:pStyle w:val="24"/>
        <w:adjustRightIn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r>
        <w:rPr>
          <w:rStyle w:val="23"/>
          <w:rFonts w:hint="default" w:ascii="Times New Roman" w:hAnsi="Times New Roman" w:eastAsia="宋体" w:cs="Times New Roman"/>
          <w:color w:val="000000"/>
          <w:sz w:val="24"/>
          <w:szCs w:val="24"/>
          <w:highlight w:val="none"/>
          <w:lang w:val="zh-TW"/>
        </w:rPr>
        <w:t>公司子公司宁沪置业公司和瀚威公司按房地产经营惯例为商品房承购人按揭贷款提供连带责任的保证担保，担保责任自保证合同生效之日起，至商品房承购人所购住房的房地产抵押登记手续完成并将房屋他项权证交银行执收之日止。截至2021年12月31日，尚未结清的担保金额约为人民币36,760.4</w:t>
      </w:r>
      <w:r>
        <w:rPr>
          <w:rStyle w:val="23"/>
          <w:rFonts w:hint="eastAsia" w:ascii="Times New Roman" w:hAnsi="Times New Roman" w:cs="Times New Roman"/>
          <w:color w:val="000000"/>
          <w:sz w:val="24"/>
          <w:szCs w:val="24"/>
          <w:highlight w:val="none"/>
          <w:lang w:val="en-US" w:eastAsia="zh-CN"/>
        </w:rPr>
        <w:t>0</w:t>
      </w:r>
      <w:r>
        <w:rPr>
          <w:rStyle w:val="23"/>
          <w:rFonts w:hint="default" w:ascii="Times New Roman" w:hAnsi="Times New Roman" w:eastAsia="宋体" w:cs="Times New Roman"/>
          <w:color w:val="000000"/>
          <w:sz w:val="24"/>
          <w:szCs w:val="24"/>
          <w:highlight w:val="none"/>
          <w:lang w:val="zh-TW"/>
        </w:rPr>
        <w:t>万元。本公司为全资子公司保理公司申请综合授信提供保证担保，担保最高余额为人民币67,000</w:t>
      </w:r>
      <w:r>
        <w:rPr>
          <w:rStyle w:val="23"/>
          <w:rFonts w:hint="eastAsia" w:ascii="Times New Roman" w:hAnsi="Times New Roman" w:cs="Times New Roman"/>
          <w:color w:val="000000"/>
          <w:sz w:val="24"/>
          <w:szCs w:val="24"/>
          <w:highlight w:val="none"/>
          <w:lang w:val="en-US" w:eastAsia="zh-CN"/>
        </w:rPr>
        <w:t>.00</w:t>
      </w:r>
      <w:r>
        <w:rPr>
          <w:rStyle w:val="23"/>
          <w:rFonts w:hint="default" w:ascii="Times New Roman" w:hAnsi="Times New Roman" w:eastAsia="宋体" w:cs="Times New Roman"/>
          <w:color w:val="000000"/>
          <w:sz w:val="24"/>
          <w:szCs w:val="24"/>
          <w:highlight w:val="none"/>
          <w:lang w:val="zh-TW"/>
        </w:rPr>
        <w:t>万元，担保方式为连带责任担保，担保期限为三年；截至2021年12月31日，担保余额约为人民币37,600</w:t>
      </w:r>
      <w:r>
        <w:rPr>
          <w:rStyle w:val="23"/>
          <w:rFonts w:hint="eastAsia" w:ascii="Times New Roman" w:hAnsi="Times New Roman" w:cs="Times New Roman"/>
          <w:color w:val="000000"/>
          <w:sz w:val="24"/>
          <w:szCs w:val="24"/>
          <w:highlight w:val="none"/>
          <w:lang w:val="en-US" w:eastAsia="zh-CN"/>
        </w:rPr>
        <w:t>.00</w:t>
      </w:r>
      <w:r>
        <w:rPr>
          <w:rStyle w:val="23"/>
          <w:rFonts w:hint="default" w:ascii="Times New Roman" w:hAnsi="Times New Roman" w:eastAsia="宋体" w:cs="Times New Roman"/>
          <w:color w:val="000000"/>
          <w:sz w:val="24"/>
          <w:szCs w:val="24"/>
          <w:highlight w:val="none"/>
          <w:lang w:val="zh-TW"/>
        </w:rPr>
        <w:t>万元。除此之外，公司及附属子公司没有为任何股东、关联人士及其他公司进行担保。</w:t>
      </w:r>
    </w:p>
    <w:p>
      <w:pPr>
        <w:pStyle w:val="24"/>
        <w:shd w:val="clear" w:color="auto" w:fill="auto"/>
        <w:tabs>
          <w:tab w:val="left" w:pos="2746"/>
        </w:tabs>
        <w:adjustRightInd w:val="0"/>
        <w:spacing w:before="0" w:line="360" w:lineRule="auto"/>
        <w:ind w:firstLine="482" w:firstLineChars="200"/>
        <w:jc w:val="both"/>
        <w:rPr>
          <w:rFonts w:hint="default" w:ascii="Times New Roman" w:hAnsi="Times New Roman" w:eastAsia="宋体" w:cs="Times New Roman"/>
          <w:b/>
          <w:bCs/>
          <w:sz w:val="24"/>
          <w:szCs w:val="24"/>
          <w:highlight w:val="none"/>
        </w:rPr>
      </w:pPr>
      <w:r>
        <w:rPr>
          <w:rStyle w:val="23"/>
          <w:rFonts w:hint="default" w:ascii="Times New Roman" w:hAnsi="Times New Roman" w:eastAsia="宋体" w:cs="Times New Roman"/>
          <w:b/>
          <w:bCs/>
          <w:color w:val="000000"/>
          <w:sz w:val="24"/>
          <w:szCs w:val="24"/>
          <w:highlight w:val="none"/>
          <w:lang w:val="zh-TW"/>
        </w:rPr>
        <w:t>（二）重大未决诉讼及仲裁情况</w:t>
      </w:r>
    </w:p>
    <w:p>
      <w:pPr>
        <w:pStyle w:val="24"/>
        <w:shd w:val="clear" w:color="auto" w:fill="auto"/>
        <w:adjustRightInd w:val="0"/>
        <w:spacing w:before="0" w:line="360" w:lineRule="auto"/>
        <w:ind w:firstLine="480" w:firstLineChars="200"/>
        <w:jc w:val="both"/>
        <w:rPr>
          <w:rFonts w:hint="default" w:ascii="Times New Roman" w:hAnsi="Times New Roman" w:eastAsia="宋体" w:cs="Times New Roman"/>
          <w:sz w:val="24"/>
          <w:szCs w:val="24"/>
          <w:highlight w:val="none"/>
        </w:rPr>
      </w:pPr>
      <w:r>
        <w:rPr>
          <w:rStyle w:val="23"/>
          <w:rFonts w:hint="default" w:ascii="Times New Roman" w:hAnsi="Times New Roman" w:eastAsia="宋体" w:cs="Times New Roman"/>
          <w:color w:val="000000"/>
          <w:sz w:val="24"/>
          <w:szCs w:val="24"/>
          <w:highlight w:val="none"/>
          <w:lang w:val="zh-TW"/>
        </w:rPr>
        <w:t>截至2022年3月末，公司不存在应披露的对公司财务状况、经营成果、业务活动、未来前景等可能产生较大影响的未决诉讼或仲裁事项。</w:t>
      </w:r>
    </w:p>
    <w:p>
      <w:pPr>
        <w:pStyle w:val="24"/>
        <w:shd w:val="clear" w:color="auto" w:fill="auto"/>
        <w:adjustRightInd w:val="0"/>
        <w:spacing w:before="0" w:line="360" w:lineRule="auto"/>
        <w:ind w:firstLine="480" w:firstLineChars="200"/>
        <w:jc w:val="both"/>
        <w:rPr>
          <w:rStyle w:val="23"/>
          <w:rFonts w:hint="default" w:ascii="Times New Roman" w:hAnsi="Times New Roman" w:eastAsia="宋体" w:cs="Times New Roman"/>
          <w:color w:val="000000"/>
          <w:sz w:val="24"/>
          <w:szCs w:val="24"/>
          <w:highlight w:val="none"/>
          <w:lang w:val="zh-TW"/>
        </w:rPr>
      </w:pPr>
    </w:p>
    <w:p>
      <w:pPr>
        <w:pStyle w:val="24"/>
        <w:shd w:val="clear" w:color="auto" w:fill="auto"/>
        <w:adjustRightInd w:val="0"/>
        <w:spacing w:before="0" w:line="360" w:lineRule="auto"/>
        <w:ind w:firstLine="482" w:firstLineChars="200"/>
        <w:jc w:val="both"/>
        <w:rPr>
          <w:rFonts w:hint="default" w:ascii="Times New Roman" w:hAnsi="Times New Roman" w:eastAsia="宋体" w:cs="Times New Roman"/>
          <w:sz w:val="24"/>
          <w:szCs w:val="24"/>
          <w:highlight w:val="none"/>
          <w:lang w:val="en-US" w:eastAsia="zh-CN"/>
        </w:rPr>
      </w:pPr>
      <w:r>
        <w:rPr>
          <w:rStyle w:val="23"/>
          <w:rFonts w:hint="default" w:ascii="Times New Roman" w:hAnsi="Times New Roman" w:eastAsia="宋体" w:cs="Times New Roman"/>
          <w:b/>
          <w:bCs/>
          <w:color w:val="000000"/>
          <w:sz w:val="24"/>
          <w:szCs w:val="24"/>
          <w:highlight w:val="none"/>
          <w:lang w:val="zh-TW"/>
        </w:rPr>
        <w:t>特此公告。</w:t>
      </w:r>
      <w:bookmarkStart w:id="14" w:name="_GoBack"/>
      <w:bookmarkEnd w:id="14"/>
    </w:p>
    <w:p>
      <w:pPr>
        <w:autoSpaceDE w:val="0"/>
        <w:autoSpaceDN w:val="0"/>
        <w:adjustRightInd w:val="0"/>
        <w:spacing w:line="360" w:lineRule="auto"/>
        <w:ind w:firstLine="480" w:firstLineChars="200"/>
        <w:jc w:val="right"/>
        <w:rPr>
          <w:rFonts w:hint="default" w:ascii="Times New Roman" w:hAnsi="Times New Roman" w:eastAsia="宋体" w:cs="Times New Roman"/>
          <w:sz w:val="24"/>
          <w:szCs w:val="24"/>
          <w:highlight w:val="none"/>
          <w:lang w:val="en-US" w:eastAsia="zh-CN"/>
        </w:rPr>
      </w:pPr>
    </w:p>
    <w:p>
      <w:pPr>
        <w:adjustRightInd w:val="0"/>
        <w:spacing w:line="360" w:lineRule="auto"/>
        <w:ind w:firstLine="2891" w:firstLineChars="1200"/>
        <w:jc w:val="right"/>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江苏宁沪高速公路股份有限公司董事会</w:t>
      </w:r>
    </w:p>
    <w:p>
      <w:pPr>
        <w:widowControl/>
        <w:spacing w:line="360" w:lineRule="auto"/>
        <w:ind w:firstLine="3373" w:firstLineChars="1400"/>
        <w:jc w:val="center"/>
        <w:rPr>
          <w:rFonts w:hint="default" w:ascii="Times New Roman" w:hAnsi="Times New Roman" w:eastAsia="宋体" w:cs="Times New Roman"/>
          <w:sz w:val="24"/>
          <w:szCs w:val="24"/>
          <w:highlight w:val="none"/>
        </w:rPr>
      </w:pPr>
      <w:r>
        <w:rPr>
          <w:rFonts w:hint="eastAsia" w:ascii="Times New Roman" w:hAnsi="Times New Roman" w:eastAsia="宋体" w:cs="Times New Roman"/>
          <w:b/>
          <w:sz w:val="24"/>
          <w:szCs w:val="24"/>
          <w:highlight w:val="none"/>
          <w:lang w:val="en-US" w:eastAsia="zh-CN"/>
        </w:rPr>
        <w:t xml:space="preserve">          2022</w:t>
      </w:r>
      <w:r>
        <w:rPr>
          <w:rFonts w:hint="default" w:ascii="Times New Roman" w:hAnsi="Times New Roman" w:eastAsia="宋体" w:cs="Times New Roman"/>
          <w:b/>
          <w:sz w:val="24"/>
          <w:szCs w:val="24"/>
          <w:highlight w:val="none"/>
        </w:rPr>
        <w:t>年</w:t>
      </w:r>
      <w:r>
        <w:rPr>
          <w:rFonts w:hint="eastAsia" w:ascii="Times New Roman" w:hAnsi="Times New Roman" w:eastAsia="宋体" w:cs="Times New Roman"/>
          <w:b/>
          <w:sz w:val="24"/>
          <w:szCs w:val="24"/>
          <w:highlight w:val="none"/>
          <w:lang w:val="en-US" w:eastAsia="zh-CN"/>
        </w:rPr>
        <w:t>4</w:t>
      </w:r>
      <w:r>
        <w:rPr>
          <w:rFonts w:hint="default" w:ascii="Times New Roman" w:hAnsi="Times New Roman" w:eastAsia="宋体" w:cs="Times New Roman"/>
          <w:b/>
          <w:sz w:val="24"/>
          <w:szCs w:val="24"/>
          <w:highlight w:val="none"/>
        </w:rPr>
        <w:t>月</w:t>
      </w:r>
      <w:r>
        <w:rPr>
          <w:rFonts w:hint="eastAsia" w:ascii="Times New Roman" w:hAnsi="Times New Roman" w:eastAsia="宋体" w:cs="Times New Roman"/>
          <w:b/>
          <w:sz w:val="24"/>
          <w:szCs w:val="24"/>
          <w:highlight w:val="none"/>
          <w:lang w:val="en-US" w:eastAsia="zh-CN"/>
        </w:rPr>
        <w:t>30</w:t>
      </w:r>
      <w:r>
        <w:rPr>
          <w:rFonts w:hint="default" w:ascii="Times New Roman" w:hAnsi="Times New Roman" w:eastAsia="宋体" w:cs="Times New Roman"/>
          <w:b/>
          <w:sz w:val="24"/>
          <w:szCs w:val="24"/>
          <w:highlight w:val="none"/>
        </w:rPr>
        <w:t>日</w:t>
      </w:r>
    </w:p>
    <w:sectPr>
      <w:pgSz w:w="11900" w:h="16840"/>
      <w:pgMar w:top="1440" w:right="1800" w:bottom="1440" w:left="1800"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Georgia">
    <w:panose1 w:val="02040502050405020303"/>
    <w:charset w:val="00"/>
    <w:family w:val="roman"/>
    <w:pitch w:val="default"/>
    <w:sig w:usb0="000002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AA79BE"/>
    <w:multiLevelType w:val="multilevel"/>
    <w:tmpl w:val="44AA79BE"/>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81"/>
  <w:drawingGridVerticalSpacing w:val="181"/>
  <w:doNotShadeFormData w:val="1"/>
  <w:characterSpacingControl w:val="compressPunctuation"/>
  <w:doNotValidateAgainstSchema/>
  <w:doNotDemarcateInvalidXml/>
  <w:compat>
    <w:doNotExpandShiftReturn/>
    <w:useFELayout/>
    <w:compatSetting w:name="compatibilityMode" w:uri="http://schemas.microsoft.com/office/word" w:val="12"/>
  </w:compat>
  <w:rsids>
    <w:rsidRoot w:val="00234C7C"/>
    <w:rsid w:val="00022BAA"/>
    <w:rsid w:val="0002359F"/>
    <w:rsid w:val="00023677"/>
    <w:rsid w:val="00046C6D"/>
    <w:rsid w:val="000541D2"/>
    <w:rsid w:val="0006091B"/>
    <w:rsid w:val="00090285"/>
    <w:rsid w:val="00090982"/>
    <w:rsid w:val="0009505E"/>
    <w:rsid w:val="000A0D87"/>
    <w:rsid w:val="000A2CC9"/>
    <w:rsid w:val="000A4BE5"/>
    <w:rsid w:val="000C5A2E"/>
    <w:rsid w:val="000C7BB3"/>
    <w:rsid w:val="000E284A"/>
    <w:rsid w:val="000E2C62"/>
    <w:rsid w:val="000E39E8"/>
    <w:rsid w:val="000F75D2"/>
    <w:rsid w:val="000F7D3B"/>
    <w:rsid w:val="00103B49"/>
    <w:rsid w:val="00112B6E"/>
    <w:rsid w:val="00112F82"/>
    <w:rsid w:val="0012222D"/>
    <w:rsid w:val="0013606A"/>
    <w:rsid w:val="001503DC"/>
    <w:rsid w:val="001546A9"/>
    <w:rsid w:val="001579DE"/>
    <w:rsid w:val="0016507C"/>
    <w:rsid w:val="00170129"/>
    <w:rsid w:val="00172356"/>
    <w:rsid w:val="001723B4"/>
    <w:rsid w:val="00173974"/>
    <w:rsid w:val="001751C1"/>
    <w:rsid w:val="00177A00"/>
    <w:rsid w:val="00181638"/>
    <w:rsid w:val="001C1759"/>
    <w:rsid w:val="001D4DF8"/>
    <w:rsid w:val="001D5B87"/>
    <w:rsid w:val="00201BF9"/>
    <w:rsid w:val="00202FCB"/>
    <w:rsid w:val="002235F8"/>
    <w:rsid w:val="002241C5"/>
    <w:rsid w:val="002311E1"/>
    <w:rsid w:val="002324DE"/>
    <w:rsid w:val="00234C7C"/>
    <w:rsid w:val="00251AA9"/>
    <w:rsid w:val="002535A1"/>
    <w:rsid w:val="0025510F"/>
    <w:rsid w:val="00272459"/>
    <w:rsid w:val="00282AEA"/>
    <w:rsid w:val="00297EC9"/>
    <w:rsid w:val="002A2071"/>
    <w:rsid w:val="002A372F"/>
    <w:rsid w:val="002B4A83"/>
    <w:rsid w:val="002E40AA"/>
    <w:rsid w:val="00300EB2"/>
    <w:rsid w:val="0030155E"/>
    <w:rsid w:val="00304823"/>
    <w:rsid w:val="00305817"/>
    <w:rsid w:val="003167B0"/>
    <w:rsid w:val="003173C4"/>
    <w:rsid w:val="00317C15"/>
    <w:rsid w:val="003250D7"/>
    <w:rsid w:val="00333A02"/>
    <w:rsid w:val="00334BF0"/>
    <w:rsid w:val="003358A8"/>
    <w:rsid w:val="00335AC3"/>
    <w:rsid w:val="003405DF"/>
    <w:rsid w:val="0035034F"/>
    <w:rsid w:val="00363E86"/>
    <w:rsid w:val="00366872"/>
    <w:rsid w:val="003710DA"/>
    <w:rsid w:val="00371277"/>
    <w:rsid w:val="00382E51"/>
    <w:rsid w:val="00383690"/>
    <w:rsid w:val="0038751D"/>
    <w:rsid w:val="0039076C"/>
    <w:rsid w:val="00395FC9"/>
    <w:rsid w:val="003A0C43"/>
    <w:rsid w:val="003A1CA0"/>
    <w:rsid w:val="003B0E0D"/>
    <w:rsid w:val="003B3317"/>
    <w:rsid w:val="003C23B6"/>
    <w:rsid w:val="003C26C1"/>
    <w:rsid w:val="003C6765"/>
    <w:rsid w:val="003E18C6"/>
    <w:rsid w:val="003F3D4E"/>
    <w:rsid w:val="003F5753"/>
    <w:rsid w:val="003F759E"/>
    <w:rsid w:val="00400940"/>
    <w:rsid w:val="00425F5D"/>
    <w:rsid w:val="004279DE"/>
    <w:rsid w:val="004347D4"/>
    <w:rsid w:val="00444BA1"/>
    <w:rsid w:val="00447E4C"/>
    <w:rsid w:val="00455DD5"/>
    <w:rsid w:val="004636D2"/>
    <w:rsid w:val="00470FFE"/>
    <w:rsid w:val="004851F2"/>
    <w:rsid w:val="004854DB"/>
    <w:rsid w:val="00490694"/>
    <w:rsid w:val="004A7C1F"/>
    <w:rsid w:val="004B07C4"/>
    <w:rsid w:val="004B0ADA"/>
    <w:rsid w:val="004B374F"/>
    <w:rsid w:val="004B4B47"/>
    <w:rsid w:val="004C0B3A"/>
    <w:rsid w:val="004C6C39"/>
    <w:rsid w:val="004E15B8"/>
    <w:rsid w:val="004E16F2"/>
    <w:rsid w:val="004E2D3D"/>
    <w:rsid w:val="004F0534"/>
    <w:rsid w:val="00503480"/>
    <w:rsid w:val="00522D44"/>
    <w:rsid w:val="005238F8"/>
    <w:rsid w:val="00523B31"/>
    <w:rsid w:val="00531035"/>
    <w:rsid w:val="00542F11"/>
    <w:rsid w:val="00551C08"/>
    <w:rsid w:val="00554591"/>
    <w:rsid w:val="0055728D"/>
    <w:rsid w:val="00561D93"/>
    <w:rsid w:val="00565EDB"/>
    <w:rsid w:val="005805ED"/>
    <w:rsid w:val="00586000"/>
    <w:rsid w:val="00592638"/>
    <w:rsid w:val="005A4F39"/>
    <w:rsid w:val="005E1F4E"/>
    <w:rsid w:val="005E53A0"/>
    <w:rsid w:val="005F5996"/>
    <w:rsid w:val="005F7739"/>
    <w:rsid w:val="0061432C"/>
    <w:rsid w:val="00627BF1"/>
    <w:rsid w:val="0063284B"/>
    <w:rsid w:val="00637921"/>
    <w:rsid w:val="0065255D"/>
    <w:rsid w:val="00653889"/>
    <w:rsid w:val="00653959"/>
    <w:rsid w:val="00672CE8"/>
    <w:rsid w:val="0067608A"/>
    <w:rsid w:val="00691DC7"/>
    <w:rsid w:val="006930C8"/>
    <w:rsid w:val="006A6C58"/>
    <w:rsid w:val="006A7E07"/>
    <w:rsid w:val="006B7DEF"/>
    <w:rsid w:val="006C1805"/>
    <w:rsid w:val="006C2A21"/>
    <w:rsid w:val="006C313E"/>
    <w:rsid w:val="006C3D6C"/>
    <w:rsid w:val="006C4665"/>
    <w:rsid w:val="006C60C2"/>
    <w:rsid w:val="00710709"/>
    <w:rsid w:val="00714F3F"/>
    <w:rsid w:val="00716958"/>
    <w:rsid w:val="0072202A"/>
    <w:rsid w:val="007323C1"/>
    <w:rsid w:val="00734083"/>
    <w:rsid w:val="00745C70"/>
    <w:rsid w:val="00753138"/>
    <w:rsid w:val="00757116"/>
    <w:rsid w:val="0076226B"/>
    <w:rsid w:val="00763368"/>
    <w:rsid w:val="00775D49"/>
    <w:rsid w:val="00782F29"/>
    <w:rsid w:val="007939C4"/>
    <w:rsid w:val="007A2B61"/>
    <w:rsid w:val="007C29F7"/>
    <w:rsid w:val="007C4020"/>
    <w:rsid w:val="007D21AB"/>
    <w:rsid w:val="007D2C04"/>
    <w:rsid w:val="007D6F63"/>
    <w:rsid w:val="007E1E85"/>
    <w:rsid w:val="007F003D"/>
    <w:rsid w:val="007F0E57"/>
    <w:rsid w:val="007F1F00"/>
    <w:rsid w:val="007F2582"/>
    <w:rsid w:val="007F76DE"/>
    <w:rsid w:val="00816656"/>
    <w:rsid w:val="00816A59"/>
    <w:rsid w:val="0081741E"/>
    <w:rsid w:val="00822391"/>
    <w:rsid w:val="008322EF"/>
    <w:rsid w:val="00832AAD"/>
    <w:rsid w:val="008339F7"/>
    <w:rsid w:val="00833FB9"/>
    <w:rsid w:val="00835D86"/>
    <w:rsid w:val="0083658A"/>
    <w:rsid w:val="00842386"/>
    <w:rsid w:val="00842832"/>
    <w:rsid w:val="008550B2"/>
    <w:rsid w:val="00863E3A"/>
    <w:rsid w:val="00867AB7"/>
    <w:rsid w:val="0087319B"/>
    <w:rsid w:val="00882511"/>
    <w:rsid w:val="008875F4"/>
    <w:rsid w:val="008878E3"/>
    <w:rsid w:val="008A05E4"/>
    <w:rsid w:val="008C2064"/>
    <w:rsid w:val="008E2340"/>
    <w:rsid w:val="008E3E75"/>
    <w:rsid w:val="008E472E"/>
    <w:rsid w:val="008E4EB4"/>
    <w:rsid w:val="008E7DA4"/>
    <w:rsid w:val="008F2695"/>
    <w:rsid w:val="00913BDC"/>
    <w:rsid w:val="0091571A"/>
    <w:rsid w:val="0091576E"/>
    <w:rsid w:val="00916C36"/>
    <w:rsid w:val="00921D4C"/>
    <w:rsid w:val="00931061"/>
    <w:rsid w:val="00953205"/>
    <w:rsid w:val="00957BA4"/>
    <w:rsid w:val="00977952"/>
    <w:rsid w:val="00995DB7"/>
    <w:rsid w:val="009A31A3"/>
    <w:rsid w:val="009B2B70"/>
    <w:rsid w:val="009B2FD2"/>
    <w:rsid w:val="009B7223"/>
    <w:rsid w:val="009D0DB2"/>
    <w:rsid w:val="009E53F3"/>
    <w:rsid w:val="009E5777"/>
    <w:rsid w:val="009F690B"/>
    <w:rsid w:val="00A01E28"/>
    <w:rsid w:val="00A0521E"/>
    <w:rsid w:val="00A125F8"/>
    <w:rsid w:val="00A30F24"/>
    <w:rsid w:val="00A31E0C"/>
    <w:rsid w:val="00A32330"/>
    <w:rsid w:val="00A40140"/>
    <w:rsid w:val="00A448A3"/>
    <w:rsid w:val="00A46756"/>
    <w:rsid w:val="00A504F8"/>
    <w:rsid w:val="00A535A9"/>
    <w:rsid w:val="00A5615F"/>
    <w:rsid w:val="00A62905"/>
    <w:rsid w:val="00A67D65"/>
    <w:rsid w:val="00A80B22"/>
    <w:rsid w:val="00A83CA7"/>
    <w:rsid w:val="00A85963"/>
    <w:rsid w:val="00A8757A"/>
    <w:rsid w:val="00A91935"/>
    <w:rsid w:val="00AA48B5"/>
    <w:rsid w:val="00AB387F"/>
    <w:rsid w:val="00AB7B04"/>
    <w:rsid w:val="00AC2B7A"/>
    <w:rsid w:val="00AD0A86"/>
    <w:rsid w:val="00AD278A"/>
    <w:rsid w:val="00AE4D53"/>
    <w:rsid w:val="00B0019B"/>
    <w:rsid w:val="00B10748"/>
    <w:rsid w:val="00B14274"/>
    <w:rsid w:val="00B228F8"/>
    <w:rsid w:val="00B259BD"/>
    <w:rsid w:val="00B31F7B"/>
    <w:rsid w:val="00B321AB"/>
    <w:rsid w:val="00B47792"/>
    <w:rsid w:val="00B528F5"/>
    <w:rsid w:val="00B635D8"/>
    <w:rsid w:val="00B67F3B"/>
    <w:rsid w:val="00B763F9"/>
    <w:rsid w:val="00B91E0B"/>
    <w:rsid w:val="00B96A02"/>
    <w:rsid w:val="00BB59D4"/>
    <w:rsid w:val="00BB5AB7"/>
    <w:rsid w:val="00BC36CF"/>
    <w:rsid w:val="00BC68F2"/>
    <w:rsid w:val="00BC6C7C"/>
    <w:rsid w:val="00BD34BD"/>
    <w:rsid w:val="00BF2D44"/>
    <w:rsid w:val="00BF572D"/>
    <w:rsid w:val="00C01D25"/>
    <w:rsid w:val="00C342AF"/>
    <w:rsid w:val="00C36865"/>
    <w:rsid w:val="00C44360"/>
    <w:rsid w:val="00C45EE6"/>
    <w:rsid w:val="00C57A11"/>
    <w:rsid w:val="00C65E34"/>
    <w:rsid w:val="00C66C1D"/>
    <w:rsid w:val="00C67C2F"/>
    <w:rsid w:val="00C86488"/>
    <w:rsid w:val="00C91B68"/>
    <w:rsid w:val="00CC078D"/>
    <w:rsid w:val="00CC1D75"/>
    <w:rsid w:val="00CD018F"/>
    <w:rsid w:val="00CD38F6"/>
    <w:rsid w:val="00CD4CD3"/>
    <w:rsid w:val="00CD4F48"/>
    <w:rsid w:val="00CF4422"/>
    <w:rsid w:val="00CF7A59"/>
    <w:rsid w:val="00D066C7"/>
    <w:rsid w:val="00D13E60"/>
    <w:rsid w:val="00D25AF7"/>
    <w:rsid w:val="00D26988"/>
    <w:rsid w:val="00D42698"/>
    <w:rsid w:val="00D4602C"/>
    <w:rsid w:val="00D469D1"/>
    <w:rsid w:val="00D54B82"/>
    <w:rsid w:val="00D57316"/>
    <w:rsid w:val="00D578E3"/>
    <w:rsid w:val="00D9136F"/>
    <w:rsid w:val="00D938D6"/>
    <w:rsid w:val="00DA0901"/>
    <w:rsid w:val="00DA56BB"/>
    <w:rsid w:val="00DB1FFA"/>
    <w:rsid w:val="00DB6615"/>
    <w:rsid w:val="00DB6D0B"/>
    <w:rsid w:val="00DD69EC"/>
    <w:rsid w:val="00DE03A3"/>
    <w:rsid w:val="00DF5EEE"/>
    <w:rsid w:val="00E12900"/>
    <w:rsid w:val="00E13EAE"/>
    <w:rsid w:val="00E15962"/>
    <w:rsid w:val="00E16B8A"/>
    <w:rsid w:val="00E237D3"/>
    <w:rsid w:val="00E26AB3"/>
    <w:rsid w:val="00E41E63"/>
    <w:rsid w:val="00E45C2E"/>
    <w:rsid w:val="00E50B7F"/>
    <w:rsid w:val="00E5584F"/>
    <w:rsid w:val="00E62CB5"/>
    <w:rsid w:val="00E64377"/>
    <w:rsid w:val="00E66887"/>
    <w:rsid w:val="00E90DD7"/>
    <w:rsid w:val="00EA2DFD"/>
    <w:rsid w:val="00EA53A4"/>
    <w:rsid w:val="00EA57B4"/>
    <w:rsid w:val="00EA63B4"/>
    <w:rsid w:val="00EB0185"/>
    <w:rsid w:val="00EB5FA6"/>
    <w:rsid w:val="00EB69A8"/>
    <w:rsid w:val="00EC20DC"/>
    <w:rsid w:val="00ED7181"/>
    <w:rsid w:val="00EE55C0"/>
    <w:rsid w:val="00F16A7A"/>
    <w:rsid w:val="00F17520"/>
    <w:rsid w:val="00F74AF5"/>
    <w:rsid w:val="00F77683"/>
    <w:rsid w:val="00F87CD5"/>
    <w:rsid w:val="00F925DF"/>
    <w:rsid w:val="00F95D6F"/>
    <w:rsid w:val="00FA4016"/>
    <w:rsid w:val="00FB44E2"/>
    <w:rsid w:val="00FC0AB9"/>
    <w:rsid w:val="00FC0ECD"/>
    <w:rsid w:val="00FC7872"/>
    <w:rsid w:val="00FC79AE"/>
    <w:rsid w:val="00FD300D"/>
    <w:rsid w:val="00FD7D0F"/>
    <w:rsid w:val="00FE0E2E"/>
    <w:rsid w:val="00FE7DEA"/>
    <w:rsid w:val="00FF04AB"/>
    <w:rsid w:val="00FF3D40"/>
    <w:rsid w:val="00FF4F06"/>
    <w:rsid w:val="011941B1"/>
    <w:rsid w:val="02367AE9"/>
    <w:rsid w:val="06A92B14"/>
    <w:rsid w:val="092825C7"/>
    <w:rsid w:val="098826F0"/>
    <w:rsid w:val="0E42170C"/>
    <w:rsid w:val="132951C9"/>
    <w:rsid w:val="13BF26C1"/>
    <w:rsid w:val="1706559C"/>
    <w:rsid w:val="18431C19"/>
    <w:rsid w:val="1C2E35CB"/>
    <w:rsid w:val="1DC37D43"/>
    <w:rsid w:val="1E3C6B0E"/>
    <w:rsid w:val="1F330197"/>
    <w:rsid w:val="272C27CD"/>
    <w:rsid w:val="290308A6"/>
    <w:rsid w:val="30442F65"/>
    <w:rsid w:val="39692714"/>
    <w:rsid w:val="3A5459DD"/>
    <w:rsid w:val="3D1B32A0"/>
    <w:rsid w:val="402B1A4C"/>
    <w:rsid w:val="43FD1315"/>
    <w:rsid w:val="491C68B7"/>
    <w:rsid w:val="4FD77907"/>
    <w:rsid w:val="5C484F48"/>
    <w:rsid w:val="5C5679F9"/>
    <w:rsid w:val="5DA6050C"/>
    <w:rsid w:val="5E2002BE"/>
    <w:rsid w:val="678371C8"/>
    <w:rsid w:val="699F22C3"/>
    <w:rsid w:val="6C7A503E"/>
    <w:rsid w:val="70476FB4"/>
    <w:rsid w:val="778A30B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Light" w:hAnsi="Microsoft JhengHei Light" w:eastAsia="Microsoft JhengHei Light"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TW" w:eastAsia="zh-TW"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0"/>
    <w:semiHidden/>
    <w:unhideWhenUsed/>
    <w:qFormat/>
    <w:uiPriority w:val="99"/>
    <w:rPr>
      <w:rFonts w:ascii="宋体" w:eastAsia="宋体"/>
      <w:sz w:val="18"/>
      <w:szCs w:val="18"/>
    </w:rPr>
  </w:style>
  <w:style w:type="paragraph" w:styleId="3">
    <w:name w:val="annotation text"/>
    <w:basedOn w:val="1"/>
    <w:link w:val="55"/>
    <w:semiHidden/>
    <w:unhideWhenUsed/>
    <w:qFormat/>
    <w:uiPriority w:val="99"/>
  </w:style>
  <w:style w:type="paragraph" w:styleId="4">
    <w:name w:val="Salutation"/>
    <w:basedOn w:val="1"/>
    <w:next w:val="1"/>
    <w:link w:val="52"/>
    <w:unhideWhenUsed/>
    <w:qFormat/>
    <w:uiPriority w:val="99"/>
    <w:rPr>
      <w:rFonts w:ascii="Times New Roman" w:hAnsi="Times New Roman" w:eastAsia="宋体" w:cs="Times New Roman"/>
    </w:rPr>
  </w:style>
  <w:style w:type="paragraph" w:styleId="5">
    <w:name w:val="Closing"/>
    <w:basedOn w:val="1"/>
    <w:link w:val="53"/>
    <w:unhideWhenUsed/>
    <w:qFormat/>
    <w:uiPriority w:val="99"/>
    <w:pPr>
      <w:ind w:left="100" w:leftChars="2100"/>
    </w:pPr>
    <w:rPr>
      <w:rFonts w:ascii="Times New Roman" w:hAnsi="Times New Roman" w:eastAsia="宋体" w:cs="Times New Roman"/>
    </w:rPr>
  </w:style>
  <w:style w:type="paragraph" w:styleId="6">
    <w:name w:val="Plain Text"/>
    <w:basedOn w:val="1"/>
    <w:link w:val="59"/>
    <w:qFormat/>
    <w:uiPriority w:val="99"/>
    <w:pPr>
      <w:jc w:val="both"/>
    </w:pPr>
    <w:rPr>
      <w:rFonts w:ascii="宋体" w:hAnsi="Courier New" w:eastAsia="宋体" w:cs="Times New Roman"/>
      <w:color w:val="auto"/>
      <w:kern w:val="2"/>
      <w:sz w:val="21"/>
      <w:szCs w:val="20"/>
      <w:lang w:val="en-US" w:eastAsia="zh-CN"/>
    </w:rPr>
  </w:style>
  <w:style w:type="paragraph" w:styleId="7">
    <w:name w:val="Balloon Text"/>
    <w:basedOn w:val="1"/>
    <w:link w:val="57"/>
    <w:semiHidden/>
    <w:unhideWhenUsed/>
    <w:qFormat/>
    <w:uiPriority w:val="99"/>
    <w:rPr>
      <w:sz w:val="18"/>
      <w:szCs w:val="18"/>
    </w:rPr>
  </w:style>
  <w:style w:type="paragraph" w:styleId="8">
    <w:name w:val="footer"/>
    <w:basedOn w:val="1"/>
    <w:link w:val="50"/>
    <w:unhideWhenUsed/>
    <w:qFormat/>
    <w:uiPriority w:val="99"/>
    <w:pPr>
      <w:tabs>
        <w:tab w:val="center" w:pos="4153"/>
        <w:tab w:val="right" w:pos="8306"/>
      </w:tabs>
      <w:snapToGrid w:val="0"/>
    </w:pPr>
    <w:rPr>
      <w:sz w:val="18"/>
      <w:szCs w:val="18"/>
    </w:rPr>
  </w:style>
  <w:style w:type="paragraph" w:styleId="9">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56"/>
    <w:semiHidden/>
    <w:unhideWhenUsed/>
    <w:qFormat/>
    <w:uiPriority w:val="99"/>
    <w:rPr>
      <w:b/>
      <w:bCs/>
    </w:rPr>
  </w:style>
  <w:style w:type="table" w:styleId="12">
    <w:name w:val="Table Grid"/>
    <w:basedOn w:val="11"/>
    <w:qFormat/>
    <w:uiPriority w:val="5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99"/>
    <w:rPr>
      <w:rFonts w:cs="Times New Roman"/>
      <w:color w:val="0066CC"/>
      <w:u w:val="single"/>
    </w:rPr>
  </w:style>
  <w:style w:type="character" w:styleId="15">
    <w:name w:val="annotation reference"/>
    <w:basedOn w:val="13"/>
    <w:unhideWhenUsed/>
    <w:qFormat/>
    <w:uiPriority w:val="0"/>
    <w:rPr>
      <w:sz w:val="21"/>
      <w:szCs w:val="21"/>
    </w:rPr>
  </w:style>
  <w:style w:type="character" w:customStyle="1" w:styleId="16">
    <w:name w:val="正文文本 (2) Exact"/>
    <w:basedOn w:val="13"/>
    <w:qFormat/>
    <w:uiPriority w:val="99"/>
    <w:rPr>
      <w:rFonts w:ascii="宋体" w:eastAsia="宋体" w:cs="宋体"/>
      <w:sz w:val="22"/>
      <w:szCs w:val="22"/>
      <w:u w:val="none"/>
    </w:rPr>
  </w:style>
  <w:style w:type="character" w:customStyle="1" w:styleId="17">
    <w:name w:val="标题 #1_"/>
    <w:basedOn w:val="13"/>
    <w:link w:val="18"/>
    <w:qFormat/>
    <w:locked/>
    <w:uiPriority w:val="99"/>
    <w:rPr>
      <w:rFonts w:ascii="宋体" w:eastAsia="宋体" w:cs="宋体"/>
      <w:spacing w:val="-10"/>
      <w:sz w:val="28"/>
      <w:szCs w:val="28"/>
      <w:u w:val="none"/>
    </w:rPr>
  </w:style>
  <w:style w:type="paragraph" w:customStyle="1" w:styleId="18">
    <w:name w:val="标题 #11"/>
    <w:basedOn w:val="1"/>
    <w:link w:val="17"/>
    <w:qFormat/>
    <w:uiPriority w:val="99"/>
    <w:pPr>
      <w:shd w:val="clear" w:color="auto" w:fill="FFFFFF"/>
      <w:spacing w:line="840" w:lineRule="exact"/>
      <w:jc w:val="center"/>
      <w:outlineLvl w:val="0"/>
    </w:pPr>
    <w:rPr>
      <w:rFonts w:ascii="宋体" w:eastAsia="宋体" w:cs="宋体"/>
      <w:color w:val="auto"/>
      <w:spacing w:val="-10"/>
      <w:sz w:val="28"/>
      <w:szCs w:val="28"/>
      <w:lang w:val="en-US" w:eastAsia="zh-CN"/>
    </w:rPr>
  </w:style>
  <w:style w:type="character" w:customStyle="1" w:styleId="19">
    <w:name w:val="标题 #1"/>
    <w:basedOn w:val="17"/>
    <w:qFormat/>
    <w:uiPriority w:val="99"/>
    <w:rPr>
      <w:rFonts w:ascii="宋体" w:eastAsia="宋体" w:cs="宋体"/>
      <w:spacing w:val="-10"/>
      <w:sz w:val="28"/>
      <w:szCs w:val="28"/>
      <w:u w:val="none"/>
    </w:rPr>
  </w:style>
  <w:style w:type="character" w:customStyle="1" w:styleId="20">
    <w:name w:val="页眉或页脚_"/>
    <w:basedOn w:val="13"/>
    <w:link w:val="21"/>
    <w:qFormat/>
    <w:locked/>
    <w:uiPriority w:val="99"/>
    <w:rPr>
      <w:rFonts w:ascii="宋体" w:eastAsia="宋体" w:cs="宋体"/>
      <w:sz w:val="22"/>
      <w:szCs w:val="22"/>
      <w:u w:val="none"/>
    </w:rPr>
  </w:style>
  <w:style w:type="paragraph" w:customStyle="1" w:styleId="21">
    <w:name w:val="页眉或页脚1"/>
    <w:basedOn w:val="1"/>
    <w:link w:val="20"/>
    <w:qFormat/>
    <w:uiPriority w:val="99"/>
    <w:pPr>
      <w:shd w:val="clear" w:color="auto" w:fill="FFFFFF"/>
      <w:spacing w:line="240" w:lineRule="atLeast"/>
    </w:pPr>
    <w:rPr>
      <w:rFonts w:ascii="宋体" w:eastAsia="宋体" w:cs="宋体"/>
      <w:color w:val="auto"/>
      <w:sz w:val="22"/>
      <w:szCs w:val="22"/>
      <w:lang w:val="en-US" w:eastAsia="zh-CN"/>
    </w:rPr>
  </w:style>
  <w:style w:type="character" w:customStyle="1" w:styleId="22">
    <w:name w:val="页眉或页脚"/>
    <w:basedOn w:val="20"/>
    <w:qFormat/>
    <w:uiPriority w:val="99"/>
    <w:rPr>
      <w:rFonts w:ascii="宋体" w:eastAsia="宋体" w:cs="宋体"/>
      <w:sz w:val="22"/>
      <w:szCs w:val="22"/>
      <w:u w:val="none"/>
    </w:rPr>
  </w:style>
  <w:style w:type="character" w:customStyle="1" w:styleId="23">
    <w:name w:val="正文文本 (2)_"/>
    <w:basedOn w:val="13"/>
    <w:link w:val="24"/>
    <w:qFormat/>
    <w:locked/>
    <w:uiPriority w:val="99"/>
    <w:rPr>
      <w:rFonts w:ascii="宋体" w:eastAsia="宋体" w:cs="宋体"/>
      <w:sz w:val="22"/>
      <w:szCs w:val="22"/>
      <w:u w:val="none"/>
    </w:rPr>
  </w:style>
  <w:style w:type="paragraph" w:customStyle="1" w:styleId="24">
    <w:name w:val="正文文本 (2)1"/>
    <w:basedOn w:val="1"/>
    <w:link w:val="23"/>
    <w:qFormat/>
    <w:uiPriority w:val="99"/>
    <w:pPr>
      <w:shd w:val="clear" w:color="auto" w:fill="FFFFFF"/>
      <w:spacing w:before="540" w:line="466" w:lineRule="exact"/>
      <w:ind w:hanging="140"/>
    </w:pPr>
    <w:rPr>
      <w:rFonts w:ascii="宋体" w:eastAsia="宋体" w:cs="宋体"/>
      <w:color w:val="auto"/>
      <w:sz w:val="22"/>
      <w:szCs w:val="22"/>
      <w:lang w:val="en-US" w:eastAsia="zh-CN"/>
    </w:rPr>
  </w:style>
  <w:style w:type="character" w:customStyle="1" w:styleId="25">
    <w:name w:val="标题 #2_"/>
    <w:basedOn w:val="13"/>
    <w:link w:val="26"/>
    <w:qFormat/>
    <w:locked/>
    <w:uiPriority w:val="99"/>
    <w:rPr>
      <w:rFonts w:ascii="宋体" w:eastAsia="宋体" w:cs="宋体"/>
      <w:b/>
      <w:bCs/>
      <w:u w:val="none"/>
    </w:rPr>
  </w:style>
  <w:style w:type="paragraph" w:customStyle="1" w:styleId="26">
    <w:name w:val="标题 #2"/>
    <w:basedOn w:val="1"/>
    <w:link w:val="25"/>
    <w:qFormat/>
    <w:uiPriority w:val="99"/>
    <w:pPr>
      <w:shd w:val="clear" w:color="auto" w:fill="FFFFFF"/>
      <w:spacing w:line="466" w:lineRule="exact"/>
      <w:jc w:val="distribute"/>
      <w:outlineLvl w:val="1"/>
    </w:pPr>
    <w:rPr>
      <w:rFonts w:ascii="宋体" w:eastAsia="宋体" w:cs="宋体"/>
      <w:b/>
      <w:bCs/>
      <w:color w:val="auto"/>
      <w:lang w:val="en-US" w:eastAsia="zh-CN"/>
    </w:rPr>
  </w:style>
  <w:style w:type="character" w:customStyle="1" w:styleId="27">
    <w:name w:val="正文文本 (3)_"/>
    <w:basedOn w:val="13"/>
    <w:link w:val="28"/>
    <w:qFormat/>
    <w:locked/>
    <w:uiPriority w:val="99"/>
    <w:rPr>
      <w:rFonts w:ascii="宋体" w:eastAsia="宋体" w:cs="宋体"/>
      <w:b/>
      <w:bCs/>
      <w:u w:val="none"/>
    </w:rPr>
  </w:style>
  <w:style w:type="paragraph" w:customStyle="1" w:styleId="28">
    <w:name w:val="正文文本 (3)"/>
    <w:basedOn w:val="1"/>
    <w:link w:val="27"/>
    <w:qFormat/>
    <w:uiPriority w:val="99"/>
    <w:pPr>
      <w:shd w:val="clear" w:color="auto" w:fill="FFFFFF"/>
      <w:spacing w:line="466" w:lineRule="exact"/>
    </w:pPr>
    <w:rPr>
      <w:rFonts w:ascii="宋体" w:eastAsia="宋体" w:cs="宋体"/>
      <w:b/>
      <w:bCs/>
      <w:color w:val="auto"/>
      <w:lang w:val="en-US" w:eastAsia="zh-CN"/>
    </w:rPr>
  </w:style>
  <w:style w:type="character" w:customStyle="1" w:styleId="29">
    <w:name w:val="表格标题_"/>
    <w:basedOn w:val="13"/>
    <w:link w:val="30"/>
    <w:qFormat/>
    <w:locked/>
    <w:uiPriority w:val="99"/>
    <w:rPr>
      <w:rFonts w:ascii="宋体" w:eastAsia="宋体" w:cs="宋体"/>
      <w:spacing w:val="-10"/>
      <w:sz w:val="17"/>
      <w:szCs w:val="17"/>
      <w:u w:val="none"/>
    </w:rPr>
  </w:style>
  <w:style w:type="paragraph" w:customStyle="1" w:styleId="30">
    <w:name w:val="表格标题"/>
    <w:basedOn w:val="1"/>
    <w:link w:val="29"/>
    <w:qFormat/>
    <w:uiPriority w:val="99"/>
    <w:pPr>
      <w:shd w:val="clear" w:color="auto" w:fill="FFFFFF"/>
      <w:spacing w:line="312" w:lineRule="exact"/>
      <w:ind w:firstLine="380"/>
      <w:jc w:val="distribute"/>
    </w:pPr>
    <w:rPr>
      <w:rFonts w:ascii="宋体" w:eastAsia="宋体" w:cs="宋体"/>
      <w:color w:val="auto"/>
      <w:spacing w:val="-10"/>
      <w:sz w:val="17"/>
      <w:szCs w:val="17"/>
      <w:lang w:val="en-US" w:eastAsia="zh-CN"/>
    </w:rPr>
  </w:style>
  <w:style w:type="character" w:customStyle="1" w:styleId="31">
    <w:name w:val="正文文本 (2) + 12 pt"/>
    <w:basedOn w:val="23"/>
    <w:qFormat/>
    <w:uiPriority w:val="99"/>
    <w:rPr>
      <w:rFonts w:ascii="宋体" w:eastAsia="宋体" w:cs="宋体"/>
      <w:b/>
      <w:bCs/>
      <w:sz w:val="24"/>
      <w:szCs w:val="24"/>
      <w:u w:val="none"/>
    </w:rPr>
  </w:style>
  <w:style w:type="character" w:customStyle="1" w:styleId="32">
    <w:name w:val="正文文本 (2) + 10 pt"/>
    <w:basedOn w:val="23"/>
    <w:qFormat/>
    <w:uiPriority w:val="99"/>
    <w:rPr>
      <w:rFonts w:ascii="宋体" w:eastAsia="宋体" w:cs="宋体"/>
      <w:sz w:val="20"/>
      <w:szCs w:val="20"/>
      <w:u w:val="none"/>
    </w:rPr>
  </w:style>
  <w:style w:type="character" w:customStyle="1" w:styleId="33">
    <w:name w:val="正文文本 (4)_"/>
    <w:basedOn w:val="13"/>
    <w:link w:val="34"/>
    <w:qFormat/>
    <w:locked/>
    <w:uiPriority w:val="99"/>
    <w:rPr>
      <w:rFonts w:ascii="宋体" w:eastAsia="宋体" w:cs="宋体"/>
      <w:spacing w:val="-10"/>
      <w:sz w:val="17"/>
      <w:szCs w:val="17"/>
      <w:u w:val="none"/>
    </w:rPr>
  </w:style>
  <w:style w:type="paragraph" w:customStyle="1" w:styleId="34">
    <w:name w:val="正文文本 (4)"/>
    <w:basedOn w:val="1"/>
    <w:link w:val="33"/>
    <w:qFormat/>
    <w:uiPriority w:val="99"/>
    <w:pPr>
      <w:shd w:val="clear" w:color="auto" w:fill="FFFFFF"/>
      <w:spacing w:after="240" w:line="269" w:lineRule="exact"/>
    </w:pPr>
    <w:rPr>
      <w:rFonts w:ascii="宋体" w:eastAsia="宋体" w:cs="宋体"/>
      <w:color w:val="auto"/>
      <w:spacing w:val="-10"/>
      <w:sz w:val="17"/>
      <w:szCs w:val="17"/>
      <w:lang w:val="en-US" w:eastAsia="zh-CN"/>
    </w:rPr>
  </w:style>
  <w:style w:type="character" w:customStyle="1" w:styleId="35">
    <w:name w:val="正文文本 (2) + 12 pt1"/>
    <w:basedOn w:val="23"/>
    <w:qFormat/>
    <w:uiPriority w:val="99"/>
    <w:rPr>
      <w:rFonts w:ascii="宋体" w:eastAsia="宋体" w:cs="宋体"/>
      <w:b/>
      <w:bCs/>
      <w:sz w:val="24"/>
      <w:szCs w:val="24"/>
      <w:u w:val="none"/>
    </w:rPr>
  </w:style>
  <w:style w:type="character" w:customStyle="1" w:styleId="36">
    <w:name w:val="正文文本 (2) + Georgia"/>
    <w:basedOn w:val="23"/>
    <w:qFormat/>
    <w:uiPriority w:val="99"/>
    <w:rPr>
      <w:rFonts w:ascii="Georgia" w:hAnsi="Georgia" w:eastAsia="宋体" w:cs="Georgia"/>
      <w:sz w:val="22"/>
      <w:szCs w:val="22"/>
      <w:u w:val="none"/>
      <w:lang w:val="en-US" w:eastAsia="en-US"/>
    </w:rPr>
  </w:style>
  <w:style w:type="character" w:customStyle="1" w:styleId="37">
    <w:name w:val="正文文本 (2)"/>
    <w:basedOn w:val="23"/>
    <w:qFormat/>
    <w:uiPriority w:val="99"/>
    <w:rPr>
      <w:rFonts w:ascii="宋体" w:eastAsia="宋体" w:cs="宋体"/>
      <w:sz w:val="22"/>
      <w:szCs w:val="22"/>
      <w:u w:val="none"/>
    </w:rPr>
  </w:style>
  <w:style w:type="character" w:customStyle="1" w:styleId="38">
    <w:name w:val="正文文本 (5)_"/>
    <w:basedOn w:val="13"/>
    <w:link w:val="39"/>
    <w:qFormat/>
    <w:locked/>
    <w:uiPriority w:val="99"/>
    <w:rPr>
      <w:rFonts w:ascii="宋体" w:eastAsia="宋体" w:cs="宋体"/>
      <w:sz w:val="20"/>
      <w:szCs w:val="20"/>
      <w:u w:val="none"/>
    </w:rPr>
  </w:style>
  <w:style w:type="paragraph" w:customStyle="1" w:styleId="39">
    <w:name w:val="正文文本 (5)"/>
    <w:basedOn w:val="1"/>
    <w:link w:val="38"/>
    <w:qFormat/>
    <w:uiPriority w:val="99"/>
    <w:pPr>
      <w:shd w:val="clear" w:color="auto" w:fill="FFFFFF"/>
      <w:spacing w:line="240" w:lineRule="atLeast"/>
    </w:pPr>
    <w:rPr>
      <w:rFonts w:ascii="宋体" w:eastAsia="宋体" w:cs="宋体"/>
      <w:color w:val="auto"/>
      <w:sz w:val="20"/>
      <w:szCs w:val="20"/>
      <w:lang w:val="en-US" w:eastAsia="zh-CN"/>
    </w:rPr>
  </w:style>
  <w:style w:type="character" w:customStyle="1" w:styleId="40">
    <w:name w:val="正文文本 (2) + 8.5 pt"/>
    <w:basedOn w:val="23"/>
    <w:qFormat/>
    <w:uiPriority w:val="99"/>
    <w:rPr>
      <w:rFonts w:ascii="宋体" w:eastAsia="宋体" w:cs="宋体"/>
      <w:spacing w:val="-10"/>
      <w:sz w:val="17"/>
      <w:szCs w:val="17"/>
      <w:u w:val="none"/>
      <w:lang w:val="en-US" w:eastAsia="en-US"/>
    </w:rPr>
  </w:style>
  <w:style w:type="character" w:customStyle="1" w:styleId="41">
    <w:name w:val="正文文本 (2) + 8.5 pt3"/>
    <w:basedOn w:val="23"/>
    <w:qFormat/>
    <w:uiPriority w:val="99"/>
    <w:rPr>
      <w:rFonts w:ascii="宋体" w:eastAsia="宋体" w:cs="宋体"/>
      <w:b/>
      <w:bCs/>
      <w:spacing w:val="-10"/>
      <w:sz w:val="17"/>
      <w:szCs w:val="17"/>
      <w:u w:val="none"/>
      <w:lang w:val="en-US" w:eastAsia="en-US"/>
    </w:rPr>
  </w:style>
  <w:style w:type="character" w:customStyle="1" w:styleId="42">
    <w:name w:val="正文文本 (2) + 8.5 pt2"/>
    <w:basedOn w:val="23"/>
    <w:qFormat/>
    <w:uiPriority w:val="99"/>
    <w:rPr>
      <w:rFonts w:ascii="宋体" w:eastAsia="宋体" w:cs="宋体"/>
      <w:spacing w:val="20"/>
      <w:sz w:val="17"/>
      <w:szCs w:val="17"/>
      <w:u w:val="none"/>
    </w:rPr>
  </w:style>
  <w:style w:type="character" w:customStyle="1" w:styleId="43">
    <w:name w:val="正文文本 (2) + Georgia1"/>
    <w:basedOn w:val="23"/>
    <w:qFormat/>
    <w:uiPriority w:val="99"/>
    <w:rPr>
      <w:rFonts w:ascii="Georgia" w:hAnsi="Georgia" w:eastAsia="宋体" w:cs="Georgia"/>
      <w:sz w:val="34"/>
      <w:szCs w:val="34"/>
      <w:u w:val="none"/>
      <w:lang w:val="en-US" w:eastAsia="en-US"/>
    </w:rPr>
  </w:style>
  <w:style w:type="character" w:customStyle="1" w:styleId="44">
    <w:name w:val="正文文本 (2) + 10 pt1"/>
    <w:basedOn w:val="23"/>
    <w:qFormat/>
    <w:uiPriority w:val="99"/>
    <w:rPr>
      <w:rFonts w:ascii="宋体" w:eastAsia="宋体" w:cs="宋体"/>
      <w:sz w:val="20"/>
      <w:szCs w:val="20"/>
      <w:u w:val="none"/>
    </w:rPr>
  </w:style>
  <w:style w:type="character" w:customStyle="1" w:styleId="45">
    <w:name w:val="表格标题 (2)_"/>
    <w:basedOn w:val="13"/>
    <w:link w:val="46"/>
    <w:qFormat/>
    <w:locked/>
    <w:uiPriority w:val="99"/>
    <w:rPr>
      <w:rFonts w:ascii="宋体" w:eastAsia="宋体" w:cs="宋体"/>
      <w:sz w:val="22"/>
      <w:szCs w:val="22"/>
      <w:u w:val="none"/>
    </w:rPr>
  </w:style>
  <w:style w:type="paragraph" w:customStyle="1" w:styleId="46">
    <w:name w:val="表格标题 (2)"/>
    <w:basedOn w:val="1"/>
    <w:link w:val="45"/>
    <w:qFormat/>
    <w:uiPriority w:val="99"/>
    <w:pPr>
      <w:shd w:val="clear" w:color="auto" w:fill="FFFFFF"/>
      <w:spacing w:line="240" w:lineRule="atLeast"/>
    </w:pPr>
    <w:rPr>
      <w:rFonts w:ascii="宋体" w:eastAsia="宋体" w:cs="宋体"/>
      <w:color w:val="auto"/>
      <w:sz w:val="22"/>
      <w:szCs w:val="22"/>
      <w:lang w:val="en-US" w:eastAsia="zh-CN"/>
    </w:rPr>
  </w:style>
  <w:style w:type="character" w:customStyle="1" w:styleId="47">
    <w:name w:val="正文文本 (2) + 8.5 pt1"/>
    <w:basedOn w:val="23"/>
    <w:qFormat/>
    <w:uiPriority w:val="99"/>
    <w:rPr>
      <w:rFonts w:ascii="宋体" w:eastAsia="宋体" w:cs="宋体"/>
      <w:b/>
      <w:bCs/>
      <w:spacing w:val="10"/>
      <w:sz w:val="17"/>
      <w:szCs w:val="17"/>
      <w:u w:val="none"/>
    </w:rPr>
  </w:style>
  <w:style w:type="character" w:customStyle="1" w:styleId="48">
    <w:name w:val="正文文本 (2) + 间距 2 pt"/>
    <w:basedOn w:val="23"/>
    <w:qFormat/>
    <w:uiPriority w:val="99"/>
    <w:rPr>
      <w:rFonts w:ascii="宋体" w:eastAsia="宋体" w:cs="宋体"/>
      <w:spacing w:val="40"/>
      <w:sz w:val="22"/>
      <w:szCs w:val="22"/>
      <w:u w:val="none"/>
    </w:rPr>
  </w:style>
  <w:style w:type="character" w:customStyle="1" w:styleId="49">
    <w:name w:val="页眉 Char"/>
    <w:basedOn w:val="13"/>
    <w:link w:val="9"/>
    <w:qFormat/>
    <w:locked/>
    <w:uiPriority w:val="99"/>
    <w:rPr>
      <w:rFonts w:cs="Microsoft JhengHei Light"/>
      <w:color w:val="000000"/>
      <w:sz w:val="18"/>
      <w:szCs w:val="18"/>
      <w:lang w:val="zh-TW" w:eastAsia="zh-TW"/>
    </w:rPr>
  </w:style>
  <w:style w:type="character" w:customStyle="1" w:styleId="50">
    <w:name w:val="页脚 Char"/>
    <w:basedOn w:val="13"/>
    <w:link w:val="8"/>
    <w:qFormat/>
    <w:locked/>
    <w:uiPriority w:val="99"/>
    <w:rPr>
      <w:rFonts w:cs="Microsoft JhengHei Light"/>
      <w:color w:val="000000"/>
      <w:sz w:val="18"/>
      <w:szCs w:val="18"/>
      <w:lang w:val="zh-TW" w:eastAsia="zh-TW"/>
    </w:rPr>
  </w:style>
  <w:style w:type="paragraph" w:customStyle="1" w:styleId="5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2">
    <w:name w:val="称呼 Char"/>
    <w:basedOn w:val="13"/>
    <w:link w:val="4"/>
    <w:qFormat/>
    <w:locked/>
    <w:uiPriority w:val="99"/>
    <w:rPr>
      <w:rFonts w:ascii="Times New Roman" w:hAnsi="Times New Roman" w:eastAsia="宋体" w:cs="Times New Roman"/>
      <w:color w:val="000000"/>
      <w:lang w:val="zh-TW" w:eastAsia="zh-TW"/>
    </w:rPr>
  </w:style>
  <w:style w:type="character" w:customStyle="1" w:styleId="53">
    <w:name w:val="结束语 Char"/>
    <w:basedOn w:val="13"/>
    <w:link w:val="5"/>
    <w:qFormat/>
    <w:locked/>
    <w:uiPriority w:val="99"/>
    <w:rPr>
      <w:rFonts w:ascii="Times New Roman" w:hAnsi="Times New Roman" w:eastAsia="宋体" w:cs="Times New Roman"/>
      <w:color w:val="000000"/>
      <w:lang w:val="zh-TW" w:eastAsia="zh-TW"/>
    </w:rPr>
  </w:style>
  <w:style w:type="paragraph" w:styleId="54">
    <w:name w:val="List Paragraph"/>
    <w:basedOn w:val="1"/>
    <w:qFormat/>
    <w:uiPriority w:val="34"/>
    <w:pPr>
      <w:ind w:firstLine="420" w:firstLineChars="200"/>
    </w:pPr>
  </w:style>
  <w:style w:type="character" w:customStyle="1" w:styleId="55">
    <w:name w:val="批注文字 Char"/>
    <w:basedOn w:val="13"/>
    <w:link w:val="3"/>
    <w:semiHidden/>
    <w:qFormat/>
    <w:uiPriority w:val="99"/>
    <w:rPr>
      <w:rFonts w:cs="Microsoft JhengHei Light"/>
      <w:color w:val="000000"/>
      <w:lang w:val="zh-TW" w:eastAsia="zh-TW"/>
    </w:rPr>
  </w:style>
  <w:style w:type="character" w:customStyle="1" w:styleId="56">
    <w:name w:val="批注主题 Char"/>
    <w:basedOn w:val="55"/>
    <w:link w:val="10"/>
    <w:semiHidden/>
    <w:qFormat/>
    <w:uiPriority w:val="99"/>
    <w:rPr>
      <w:rFonts w:cs="Microsoft JhengHei Light"/>
      <w:b/>
      <w:bCs/>
      <w:color w:val="000000"/>
      <w:lang w:val="zh-TW" w:eastAsia="zh-TW"/>
    </w:rPr>
  </w:style>
  <w:style w:type="character" w:customStyle="1" w:styleId="57">
    <w:name w:val="批注框文本 Char"/>
    <w:basedOn w:val="13"/>
    <w:link w:val="7"/>
    <w:semiHidden/>
    <w:qFormat/>
    <w:uiPriority w:val="99"/>
    <w:rPr>
      <w:rFonts w:cs="Microsoft JhengHei Light"/>
      <w:color w:val="000000"/>
      <w:sz w:val="18"/>
      <w:szCs w:val="18"/>
      <w:lang w:val="zh-TW" w:eastAsia="zh-TW"/>
    </w:rPr>
  </w:style>
  <w:style w:type="paragraph" w:customStyle="1" w:styleId="58">
    <w:name w:val="Revision"/>
    <w:hidden/>
    <w:semiHidden/>
    <w:qFormat/>
    <w:uiPriority w:val="99"/>
    <w:rPr>
      <w:rFonts w:ascii="Microsoft JhengHei Light" w:hAnsi="Microsoft JhengHei Light" w:eastAsia="Microsoft JhengHei Light" w:cs="Microsoft JhengHei Light"/>
      <w:color w:val="000000"/>
      <w:sz w:val="24"/>
      <w:szCs w:val="24"/>
      <w:lang w:val="zh-TW" w:eastAsia="zh-TW" w:bidi="ar-SA"/>
    </w:rPr>
  </w:style>
  <w:style w:type="character" w:customStyle="1" w:styleId="59">
    <w:name w:val="纯文本 Char"/>
    <w:basedOn w:val="13"/>
    <w:link w:val="6"/>
    <w:qFormat/>
    <w:uiPriority w:val="99"/>
    <w:rPr>
      <w:rFonts w:ascii="宋体" w:hAnsi="Courier New" w:eastAsia="宋体"/>
      <w:kern w:val="2"/>
      <w:sz w:val="21"/>
    </w:rPr>
  </w:style>
  <w:style w:type="character" w:customStyle="1" w:styleId="60">
    <w:name w:val="文档结构图 Char"/>
    <w:basedOn w:val="13"/>
    <w:link w:val="2"/>
    <w:semiHidden/>
    <w:qFormat/>
    <w:uiPriority w:val="99"/>
    <w:rPr>
      <w:rFonts w:ascii="宋体" w:eastAsia="宋体" w:cs="Microsoft JhengHei Light"/>
      <w:color w:val="000000"/>
      <w:sz w:val="18"/>
      <w:szCs w:val="18"/>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F85E9-83BF-449A-A03D-8AEE1F95EA67}">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22</Pages>
  <Words>11062</Words>
  <Characters>20878</Characters>
  <Lines>166</Lines>
  <Paragraphs>46</Paragraphs>
  <TotalTime>0</TotalTime>
  <ScaleCrop>false</ScaleCrop>
  <LinksUpToDate>false</LinksUpToDate>
  <CharactersWithSpaces>21213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2022-04-21T04:24:00Z</dcterms:created>
  <dc:creator>meng linghao</dc:creator>
  <cp:lastModifiedBy>木可三曰</cp:lastModifiedBy>
  <dcterms:modified xsi:type="dcterms:W3CDTF">2022-04-29T07:48:14Z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8F960FC8FD9442ECA793CA88BCB5DC84</vt:lpwstr>
  </property>
</Properties>
</file>